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3343" w14:textId="080400C4" w:rsidR="004944F0" w:rsidRPr="00163690" w:rsidRDefault="004944F0" w:rsidP="007318DB">
      <w:pPr>
        <w:rPr>
          <w:rFonts w:ascii="Arial" w:hAnsi="Arial" w:cs="Arial"/>
          <w:sz w:val="18"/>
          <w:szCs w:val="18"/>
        </w:rPr>
      </w:pPr>
      <w:r w:rsidRPr="007318DB">
        <w:rPr>
          <w:rFonts w:ascii="Arial" w:hAnsi="Arial" w:cs="Arial"/>
          <w:sz w:val="18"/>
          <w:szCs w:val="18"/>
        </w:rPr>
        <w:t xml:space="preserve">The Conditions for Development outlined in the </w:t>
      </w:r>
      <w:r w:rsidR="007110E5" w:rsidRPr="007318DB">
        <w:rPr>
          <w:rFonts w:ascii="Arial" w:hAnsi="Arial" w:cs="Arial"/>
          <w:sz w:val="18"/>
          <w:szCs w:val="18"/>
        </w:rPr>
        <w:t xml:space="preserve">HV1-C </w:t>
      </w:r>
      <w:r w:rsidRPr="007318DB">
        <w:rPr>
          <w:rFonts w:ascii="Arial" w:hAnsi="Arial" w:cs="Arial"/>
          <w:sz w:val="18"/>
          <w:szCs w:val="18"/>
        </w:rPr>
        <w:t>Gundy Complex Plan (</w:t>
      </w:r>
      <w:hyperlink r:id="rId11" w:history="1">
        <w:r w:rsidR="00F47601" w:rsidRPr="00F47601">
          <w:rPr>
            <w:rStyle w:val="Hyperlink"/>
            <w:rFonts w:ascii="Arial" w:hAnsi="Arial" w:cs="Arial"/>
            <w:sz w:val="18"/>
            <w:szCs w:val="18"/>
          </w:rPr>
          <w:t>Order in Council 532/2024 (gov.bc.ca)</w:t>
        </w:r>
      </w:hyperlink>
      <w:r w:rsidRPr="00F47601">
        <w:rPr>
          <w:rFonts w:ascii="Arial" w:hAnsi="Arial" w:cs="Arial"/>
          <w:sz w:val="18"/>
          <w:szCs w:val="18"/>
        </w:rPr>
        <w:t>) align with the Province of British Columbia’s (B.C</w:t>
      </w:r>
      <w:r w:rsidR="00970009" w:rsidRPr="00F47601">
        <w:rPr>
          <w:rFonts w:ascii="Arial" w:hAnsi="Arial" w:cs="Arial"/>
          <w:sz w:val="18"/>
          <w:szCs w:val="18"/>
        </w:rPr>
        <w:t>.</w:t>
      </w:r>
      <w:r w:rsidRPr="00F47601">
        <w:rPr>
          <w:rFonts w:ascii="Arial" w:hAnsi="Arial" w:cs="Arial"/>
          <w:sz w:val="18"/>
          <w:szCs w:val="18"/>
        </w:rPr>
        <w:t>) professional reliance model, by which government relies on qualified</w:t>
      </w:r>
      <w:r w:rsidRPr="00163690">
        <w:rPr>
          <w:rFonts w:ascii="Arial" w:hAnsi="Arial" w:cs="Arial"/>
          <w:sz w:val="18"/>
          <w:szCs w:val="18"/>
        </w:rPr>
        <w:t xml:space="preserve"> professionals to provide sound and impartial advice and recommendations for the purpose of informing decisions in relation to resource management and environmental protection in B</w:t>
      </w:r>
      <w:r>
        <w:rPr>
          <w:rFonts w:ascii="Arial" w:hAnsi="Arial" w:cs="Arial"/>
          <w:sz w:val="18"/>
          <w:szCs w:val="18"/>
        </w:rPr>
        <w:t xml:space="preserve">.C. </w:t>
      </w:r>
      <w:bookmarkStart w:id="0" w:name="_Hlk172616849"/>
      <w:r w:rsidRPr="00163690">
        <w:rPr>
          <w:rFonts w:ascii="Arial" w:hAnsi="Arial" w:cs="Arial"/>
          <w:sz w:val="18"/>
          <w:szCs w:val="18"/>
        </w:rPr>
        <w:t>The table</w:t>
      </w:r>
      <w:r>
        <w:rPr>
          <w:rFonts w:ascii="Arial" w:hAnsi="Arial" w:cs="Arial"/>
          <w:sz w:val="18"/>
          <w:szCs w:val="18"/>
        </w:rPr>
        <w:t>s</w:t>
      </w:r>
      <w:r w:rsidRPr="00163690">
        <w:rPr>
          <w:rFonts w:ascii="Arial" w:hAnsi="Arial" w:cs="Arial"/>
          <w:sz w:val="18"/>
          <w:szCs w:val="18"/>
        </w:rPr>
        <w:t xml:space="preserve"> below must be </w:t>
      </w:r>
      <w:r>
        <w:rPr>
          <w:rFonts w:ascii="Arial" w:hAnsi="Arial" w:cs="Arial"/>
          <w:sz w:val="18"/>
          <w:szCs w:val="18"/>
        </w:rPr>
        <w:t xml:space="preserve">included with the </w:t>
      </w:r>
      <w:r w:rsidR="00693F5B" w:rsidRPr="00D226E0">
        <w:rPr>
          <w:rFonts w:ascii="Arial" w:hAnsi="Arial" w:cs="Arial"/>
          <w:b/>
          <w:bCs/>
          <w:sz w:val="18"/>
          <w:szCs w:val="18"/>
        </w:rPr>
        <w:t xml:space="preserve">QP/QEP </w:t>
      </w:r>
      <w:r w:rsidRPr="00D226E0">
        <w:rPr>
          <w:rFonts w:ascii="Arial" w:hAnsi="Arial" w:cs="Arial"/>
          <w:b/>
          <w:bCs/>
          <w:sz w:val="18"/>
          <w:szCs w:val="18"/>
        </w:rPr>
        <w:t>Assessment Report</w:t>
      </w:r>
      <w:r w:rsidR="00BB1B59" w:rsidRPr="00D226E0">
        <w:rPr>
          <w:rFonts w:ascii="Arial" w:hAnsi="Arial" w:cs="Arial"/>
          <w:b/>
          <w:bCs/>
          <w:sz w:val="18"/>
          <w:szCs w:val="18"/>
        </w:rPr>
        <w:t xml:space="preserve"> </w:t>
      </w:r>
      <w:r w:rsidR="00693F5B" w:rsidRPr="00D226E0">
        <w:rPr>
          <w:rFonts w:ascii="Arial" w:hAnsi="Arial" w:cs="Arial"/>
          <w:b/>
          <w:bCs/>
          <w:sz w:val="18"/>
          <w:szCs w:val="18"/>
        </w:rPr>
        <w:t xml:space="preserve">as </w:t>
      </w:r>
      <w:r w:rsidR="00D226E0" w:rsidRPr="00D226E0">
        <w:rPr>
          <w:rFonts w:ascii="Arial" w:hAnsi="Arial" w:cs="Arial"/>
          <w:b/>
          <w:bCs/>
          <w:sz w:val="18"/>
          <w:szCs w:val="18"/>
        </w:rPr>
        <w:t xml:space="preserve">a </w:t>
      </w:r>
      <w:r w:rsidR="00693F5B" w:rsidRPr="00D226E0">
        <w:rPr>
          <w:rFonts w:ascii="Arial" w:hAnsi="Arial" w:cs="Arial"/>
          <w:b/>
          <w:bCs/>
          <w:sz w:val="18"/>
          <w:szCs w:val="18"/>
        </w:rPr>
        <w:t>cover page</w:t>
      </w:r>
      <w:r>
        <w:rPr>
          <w:rFonts w:ascii="Arial" w:hAnsi="Arial" w:cs="Arial"/>
          <w:sz w:val="18"/>
          <w:szCs w:val="18"/>
        </w:rPr>
        <w:t xml:space="preserve"> </w:t>
      </w:r>
      <w:r w:rsidRPr="00163690">
        <w:rPr>
          <w:rFonts w:ascii="Arial" w:hAnsi="Arial" w:cs="Arial"/>
          <w:sz w:val="18"/>
          <w:szCs w:val="18"/>
        </w:rPr>
        <w:t>to demo</w:t>
      </w:r>
      <w:r>
        <w:rPr>
          <w:rFonts w:ascii="Arial" w:hAnsi="Arial" w:cs="Arial"/>
          <w:sz w:val="18"/>
          <w:szCs w:val="18"/>
        </w:rPr>
        <w:t>nstrate</w:t>
      </w:r>
      <w:r w:rsidR="00452528">
        <w:rPr>
          <w:rFonts w:ascii="Arial" w:hAnsi="Arial" w:cs="Arial"/>
          <w:sz w:val="18"/>
          <w:szCs w:val="18"/>
        </w:rPr>
        <w:t xml:space="preserve"> that</w:t>
      </w:r>
      <w:r>
        <w:rPr>
          <w:rFonts w:ascii="Arial" w:hAnsi="Arial" w:cs="Arial"/>
          <w:sz w:val="18"/>
          <w:szCs w:val="18"/>
        </w:rPr>
        <w:t xml:space="preserve"> the professional reliance model has been followed, and that the activities are in concordance with the </w:t>
      </w:r>
      <w:r w:rsidR="007110E5">
        <w:rPr>
          <w:rFonts w:ascii="Arial" w:hAnsi="Arial" w:cs="Arial"/>
          <w:sz w:val="18"/>
          <w:szCs w:val="18"/>
        </w:rPr>
        <w:t xml:space="preserve">HV1-C </w:t>
      </w:r>
      <w:r>
        <w:rPr>
          <w:rFonts w:ascii="Arial" w:hAnsi="Arial" w:cs="Arial"/>
          <w:sz w:val="18"/>
          <w:szCs w:val="18"/>
        </w:rPr>
        <w:t>Gundy Complex Plan.</w:t>
      </w:r>
    </w:p>
    <w:bookmarkEnd w:id="0"/>
    <w:p w14:paraId="16297F56" w14:textId="77777777" w:rsidR="004944F0" w:rsidRPr="00A33766" w:rsidRDefault="004944F0" w:rsidP="004944F0">
      <w:pPr>
        <w:pStyle w:val="ListParagraph"/>
        <w:numPr>
          <w:ilvl w:val="0"/>
          <w:numId w:val="3"/>
        </w:numPr>
        <w:spacing w:before="120" w:after="120"/>
        <w:rPr>
          <w:rFonts w:ascii="Arial" w:hAnsi="Arial" w:cs="Arial"/>
          <w:sz w:val="18"/>
          <w:szCs w:val="18"/>
        </w:rPr>
      </w:pPr>
      <w:r w:rsidRPr="00ED4C80">
        <w:rPr>
          <w:rFonts w:ascii="Arial" w:hAnsi="Arial" w:cs="Arial"/>
          <w:sz w:val="18"/>
          <w:szCs w:val="18"/>
        </w:rPr>
        <w:t>Qualified Professionals (QPs) and Qualified Environmental Professionals (QEPs)</w:t>
      </w:r>
      <w:r>
        <w:rPr>
          <w:rFonts w:ascii="Arial" w:hAnsi="Arial" w:cs="Arial"/>
          <w:sz w:val="18"/>
          <w:szCs w:val="18"/>
        </w:rPr>
        <w:t xml:space="preserve"> credentials, experience and sign-off. </w:t>
      </w:r>
    </w:p>
    <w:p w14:paraId="5106D298" w14:textId="1DAF29E5" w:rsidR="004944F0" w:rsidRPr="00ED4C80" w:rsidRDefault="004944F0" w:rsidP="004944F0">
      <w:pPr>
        <w:spacing w:before="120" w:after="120"/>
        <w:rPr>
          <w:rFonts w:ascii="Arial" w:hAnsi="Arial" w:cs="Arial"/>
          <w:sz w:val="18"/>
          <w:szCs w:val="18"/>
        </w:rPr>
      </w:pPr>
      <w:r>
        <w:rPr>
          <w:rFonts w:ascii="Arial" w:hAnsi="Arial" w:cs="Arial"/>
          <w:sz w:val="18"/>
          <w:szCs w:val="18"/>
        </w:rPr>
        <w:t xml:space="preserve">The table below must be used to </w:t>
      </w:r>
      <w:r w:rsidRPr="04F4340A">
        <w:rPr>
          <w:rFonts w:ascii="Arial" w:hAnsi="Arial" w:cs="Arial"/>
          <w:sz w:val="18"/>
          <w:szCs w:val="18"/>
        </w:rPr>
        <w:t>describ</w:t>
      </w:r>
      <w:r>
        <w:rPr>
          <w:rFonts w:ascii="Arial" w:hAnsi="Arial" w:cs="Arial"/>
          <w:sz w:val="18"/>
          <w:szCs w:val="18"/>
        </w:rPr>
        <w:t>e</w:t>
      </w:r>
      <w:r w:rsidRPr="04F4340A">
        <w:rPr>
          <w:rFonts w:ascii="Arial" w:hAnsi="Arial" w:cs="Arial"/>
          <w:sz w:val="18"/>
          <w:szCs w:val="18"/>
        </w:rPr>
        <w:t xml:space="preserve"> </w:t>
      </w:r>
      <w:r>
        <w:rPr>
          <w:rFonts w:ascii="Arial" w:hAnsi="Arial" w:cs="Arial"/>
          <w:sz w:val="18"/>
          <w:szCs w:val="18"/>
        </w:rPr>
        <w:t xml:space="preserve">the </w:t>
      </w:r>
      <w:r w:rsidRPr="04F4340A">
        <w:rPr>
          <w:rFonts w:ascii="Arial" w:hAnsi="Arial" w:cs="Arial"/>
          <w:sz w:val="18"/>
          <w:szCs w:val="18"/>
        </w:rPr>
        <w:t>QP/QEPs name(s), credentials, years experience in the field specific to the discipline</w:t>
      </w:r>
      <w:r>
        <w:rPr>
          <w:rFonts w:ascii="Arial" w:hAnsi="Arial" w:cs="Arial"/>
          <w:sz w:val="18"/>
          <w:szCs w:val="18"/>
        </w:rPr>
        <w:t>.</w:t>
      </w:r>
    </w:p>
    <w:tbl>
      <w:tblPr>
        <w:tblStyle w:val="TableGrid"/>
        <w:tblW w:w="10980" w:type="dxa"/>
        <w:tblInd w:w="-5" w:type="dxa"/>
        <w:tblLook w:val="04A0" w:firstRow="1" w:lastRow="0" w:firstColumn="1" w:lastColumn="0" w:noHBand="0" w:noVBand="1"/>
      </w:tblPr>
      <w:tblGrid>
        <w:gridCol w:w="3150"/>
        <w:gridCol w:w="4860"/>
        <w:gridCol w:w="2970"/>
      </w:tblGrid>
      <w:tr w:rsidR="004944F0" w14:paraId="6722446C" w14:textId="77777777" w:rsidTr="007F213E">
        <w:tc>
          <w:tcPr>
            <w:tcW w:w="3150" w:type="dxa"/>
            <w:shd w:val="clear" w:color="auto" w:fill="83CAEB" w:themeFill="accent1" w:themeFillTint="66"/>
          </w:tcPr>
          <w:p w14:paraId="0DC9EE95" w14:textId="77777777" w:rsidR="004944F0" w:rsidRPr="00D11588" w:rsidRDefault="004944F0" w:rsidP="004C5CF1">
            <w:pPr>
              <w:rPr>
                <w:rFonts w:ascii="Arial" w:hAnsi="Arial" w:cs="Arial"/>
                <w:b/>
                <w:bCs/>
                <w:sz w:val="18"/>
                <w:szCs w:val="18"/>
              </w:rPr>
            </w:pPr>
            <w:r w:rsidRPr="00971561">
              <w:rPr>
                <w:rFonts w:ascii="Arial" w:hAnsi="Arial" w:cs="Arial"/>
                <w:b/>
                <w:bCs/>
                <w:sz w:val="18"/>
                <w:szCs w:val="18"/>
              </w:rPr>
              <w:t>Personnel</w:t>
            </w:r>
            <w:r>
              <w:rPr>
                <w:rFonts w:ascii="Arial" w:hAnsi="Arial" w:cs="Arial"/>
                <w:b/>
                <w:bCs/>
                <w:sz w:val="18"/>
                <w:szCs w:val="18"/>
              </w:rPr>
              <w:t>,</w:t>
            </w:r>
            <w:r w:rsidRPr="00971561">
              <w:rPr>
                <w:rFonts w:ascii="Arial" w:hAnsi="Arial" w:cs="Arial"/>
                <w:b/>
                <w:bCs/>
                <w:sz w:val="18"/>
                <w:szCs w:val="18"/>
              </w:rPr>
              <w:t xml:space="preserve"> Credentials</w:t>
            </w:r>
            <w:r>
              <w:rPr>
                <w:rFonts w:ascii="Arial" w:hAnsi="Arial" w:cs="Arial"/>
                <w:b/>
                <w:bCs/>
                <w:sz w:val="18"/>
                <w:szCs w:val="18"/>
              </w:rPr>
              <w:t>, and Discipline</w:t>
            </w:r>
          </w:p>
        </w:tc>
        <w:tc>
          <w:tcPr>
            <w:tcW w:w="4860" w:type="dxa"/>
            <w:shd w:val="clear" w:color="auto" w:fill="83CAEB" w:themeFill="accent1" w:themeFillTint="66"/>
          </w:tcPr>
          <w:p w14:paraId="16D28A0C" w14:textId="77777777" w:rsidR="004944F0" w:rsidRPr="00D11588" w:rsidRDefault="004944F0" w:rsidP="004C5CF1">
            <w:pPr>
              <w:rPr>
                <w:rFonts w:ascii="Arial" w:hAnsi="Arial" w:cs="Arial"/>
                <w:b/>
                <w:bCs/>
                <w:sz w:val="18"/>
                <w:szCs w:val="18"/>
              </w:rPr>
            </w:pPr>
            <w:r w:rsidRPr="00971561">
              <w:rPr>
                <w:rFonts w:ascii="Arial" w:hAnsi="Arial" w:cs="Arial"/>
                <w:b/>
                <w:bCs/>
                <w:sz w:val="18"/>
                <w:szCs w:val="18"/>
              </w:rPr>
              <w:t>Years Experience specific to the discipline</w:t>
            </w:r>
          </w:p>
        </w:tc>
        <w:tc>
          <w:tcPr>
            <w:tcW w:w="2970" w:type="dxa"/>
            <w:shd w:val="clear" w:color="auto" w:fill="83CAEB" w:themeFill="accent1" w:themeFillTint="66"/>
          </w:tcPr>
          <w:p w14:paraId="26069F84" w14:textId="77777777" w:rsidR="004944F0" w:rsidRPr="00971561" w:rsidRDefault="004944F0" w:rsidP="004C5CF1">
            <w:pPr>
              <w:rPr>
                <w:rFonts w:ascii="Arial" w:hAnsi="Arial" w:cs="Arial"/>
                <w:b/>
                <w:bCs/>
                <w:sz w:val="18"/>
                <w:szCs w:val="18"/>
              </w:rPr>
            </w:pPr>
            <w:r>
              <w:rPr>
                <w:rFonts w:ascii="Arial" w:hAnsi="Arial" w:cs="Arial"/>
                <w:b/>
                <w:bCs/>
                <w:sz w:val="18"/>
                <w:szCs w:val="18"/>
              </w:rPr>
              <w:t>Signature</w:t>
            </w:r>
          </w:p>
        </w:tc>
      </w:tr>
      <w:tr w:rsidR="004944F0" w14:paraId="016AD607" w14:textId="77777777" w:rsidTr="007F213E">
        <w:trPr>
          <w:trHeight w:val="386"/>
        </w:trPr>
        <w:tc>
          <w:tcPr>
            <w:tcW w:w="3150" w:type="dxa"/>
          </w:tcPr>
          <w:p w14:paraId="28A7C94A" w14:textId="77777777" w:rsidR="004944F0" w:rsidRPr="00567BF2" w:rsidRDefault="004944F0" w:rsidP="004C5CF1">
            <w:pPr>
              <w:tabs>
                <w:tab w:val="left" w:pos="1336"/>
              </w:tabs>
              <w:rPr>
                <w:rFonts w:ascii="Arial" w:hAnsi="Arial" w:cs="Arial"/>
                <w:i/>
                <w:iCs/>
                <w:sz w:val="18"/>
                <w:szCs w:val="18"/>
                <w:lang w:val="en-CA"/>
              </w:rPr>
            </w:pPr>
            <w:r w:rsidRPr="00567BF2">
              <w:rPr>
                <w:rFonts w:ascii="Arial" w:hAnsi="Arial" w:cs="Arial"/>
                <w:i/>
                <w:iCs/>
                <w:sz w:val="18"/>
                <w:szCs w:val="18"/>
                <w:lang w:val="en-CA"/>
              </w:rPr>
              <w:t xml:space="preserve">e.g., Joanna Smith, M.Sc., </w:t>
            </w:r>
            <w:proofErr w:type="spellStart"/>
            <w:r w:rsidRPr="00567BF2">
              <w:rPr>
                <w:rFonts w:ascii="Arial" w:hAnsi="Arial" w:cs="Arial"/>
                <w:i/>
                <w:iCs/>
                <w:sz w:val="18"/>
                <w:szCs w:val="18"/>
                <w:lang w:val="en-CA"/>
              </w:rPr>
              <w:t>R.</w:t>
            </w:r>
            <w:proofErr w:type="gramStart"/>
            <w:r w:rsidRPr="00567BF2">
              <w:rPr>
                <w:rFonts w:ascii="Arial" w:hAnsi="Arial" w:cs="Arial"/>
                <w:i/>
                <w:iCs/>
                <w:sz w:val="18"/>
                <w:szCs w:val="18"/>
                <w:lang w:val="en-CA"/>
              </w:rPr>
              <w:t>P.Bio</w:t>
            </w:r>
            <w:proofErr w:type="spellEnd"/>
            <w:proofErr w:type="gramEnd"/>
            <w:r w:rsidRPr="00567BF2">
              <w:rPr>
                <w:rFonts w:ascii="Arial" w:hAnsi="Arial" w:cs="Arial"/>
                <w:i/>
                <w:iCs/>
                <w:sz w:val="18"/>
                <w:szCs w:val="18"/>
                <w:lang w:val="en-CA"/>
              </w:rPr>
              <w:t xml:space="preserve"> – Ecosystems and Wildlife</w:t>
            </w:r>
          </w:p>
        </w:tc>
        <w:tc>
          <w:tcPr>
            <w:tcW w:w="4860" w:type="dxa"/>
          </w:tcPr>
          <w:p w14:paraId="47E1DE7E" w14:textId="25AF55A5" w:rsidR="004944F0" w:rsidRPr="00567BF2" w:rsidRDefault="004944F0" w:rsidP="004C5CF1">
            <w:pPr>
              <w:tabs>
                <w:tab w:val="left" w:pos="1336"/>
              </w:tabs>
              <w:rPr>
                <w:rFonts w:ascii="Arial" w:hAnsi="Arial" w:cs="Arial"/>
                <w:i/>
                <w:iCs/>
                <w:sz w:val="18"/>
                <w:szCs w:val="18"/>
                <w:lang w:val="en-CA"/>
              </w:rPr>
            </w:pPr>
            <w:r w:rsidRPr="00567BF2">
              <w:rPr>
                <w:rFonts w:ascii="Arial" w:hAnsi="Arial" w:cs="Arial"/>
                <w:i/>
                <w:iCs/>
                <w:sz w:val="18"/>
                <w:szCs w:val="18"/>
                <w:lang w:val="en-CA"/>
              </w:rPr>
              <w:t xml:space="preserve">e.g., Eight years of experience related to ecosystem and wildlife </w:t>
            </w:r>
            <w:r>
              <w:rPr>
                <w:rFonts w:ascii="Arial" w:hAnsi="Arial" w:cs="Arial"/>
                <w:i/>
                <w:iCs/>
                <w:sz w:val="18"/>
                <w:szCs w:val="18"/>
                <w:lang w:val="en-CA"/>
              </w:rPr>
              <w:t>assessment</w:t>
            </w:r>
            <w:r w:rsidRPr="00567BF2">
              <w:rPr>
                <w:rFonts w:ascii="Arial" w:hAnsi="Arial" w:cs="Arial"/>
                <w:i/>
                <w:iCs/>
                <w:sz w:val="18"/>
                <w:szCs w:val="18"/>
                <w:lang w:val="en-CA"/>
              </w:rPr>
              <w:t xml:space="preserve">, including more than 5 years working with proponents in the oil and gas sector. </w:t>
            </w:r>
          </w:p>
        </w:tc>
        <w:tc>
          <w:tcPr>
            <w:tcW w:w="2970" w:type="dxa"/>
          </w:tcPr>
          <w:p w14:paraId="3F2173F8" w14:textId="77777777" w:rsidR="004944F0" w:rsidRPr="00567BF2" w:rsidRDefault="004944F0" w:rsidP="004C5CF1">
            <w:pPr>
              <w:tabs>
                <w:tab w:val="left" w:pos="1336"/>
              </w:tabs>
              <w:rPr>
                <w:i/>
                <w:iCs/>
              </w:rPr>
            </w:pPr>
            <w:r w:rsidRPr="004D2DF9">
              <w:rPr>
                <w:rFonts w:ascii="Arial" w:hAnsi="Arial" w:cs="Arial"/>
                <w:i/>
                <w:iCs/>
                <w:sz w:val="18"/>
                <w:szCs w:val="18"/>
                <w:lang w:val="en-CA"/>
              </w:rPr>
              <w:t>Add signature</w:t>
            </w:r>
            <w:r>
              <w:rPr>
                <w:i/>
                <w:iCs/>
              </w:rPr>
              <w:t xml:space="preserve"> </w:t>
            </w:r>
          </w:p>
        </w:tc>
      </w:tr>
    </w:tbl>
    <w:p w14:paraId="57742379" w14:textId="77777777" w:rsidR="004944F0" w:rsidRDefault="004944F0" w:rsidP="004944F0">
      <w:pPr>
        <w:pStyle w:val="ListParagraph"/>
        <w:numPr>
          <w:ilvl w:val="0"/>
          <w:numId w:val="3"/>
        </w:numPr>
        <w:spacing w:before="120" w:after="120"/>
        <w:rPr>
          <w:rFonts w:ascii="Arial" w:hAnsi="Arial" w:cs="Arial"/>
          <w:sz w:val="18"/>
          <w:szCs w:val="18"/>
        </w:rPr>
      </w:pPr>
      <w:r w:rsidRPr="00B473BF">
        <w:rPr>
          <w:rFonts w:ascii="Arial" w:hAnsi="Arial" w:cs="Arial"/>
          <w:sz w:val="18"/>
          <w:szCs w:val="18"/>
        </w:rPr>
        <w:t>Co</w:t>
      </w:r>
      <w:r>
        <w:rPr>
          <w:rFonts w:ascii="Arial" w:hAnsi="Arial" w:cs="Arial"/>
          <w:sz w:val="18"/>
          <w:szCs w:val="18"/>
        </w:rPr>
        <w:t>ncordance</w:t>
      </w:r>
      <w:r w:rsidRPr="00B473BF">
        <w:rPr>
          <w:rFonts w:ascii="Arial" w:hAnsi="Arial" w:cs="Arial"/>
          <w:sz w:val="18"/>
          <w:szCs w:val="18"/>
        </w:rPr>
        <w:t xml:space="preserve"> with the Conditions for Development</w:t>
      </w:r>
      <w:r>
        <w:rPr>
          <w:rFonts w:ascii="Arial" w:hAnsi="Arial" w:cs="Arial"/>
          <w:sz w:val="18"/>
          <w:szCs w:val="18"/>
        </w:rPr>
        <w:t xml:space="preserve"> for Oil and Gas Activity</w:t>
      </w:r>
      <w:r w:rsidRPr="00B473BF">
        <w:rPr>
          <w:rFonts w:ascii="Arial" w:hAnsi="Arial" w:cs="Arial"/>
          <w:sz w:val="18"/>
          <w:szCs w:val="18"/>
        </w:rPr>
        <w:t>:</w:t>
      </w:r>
    </w:p>
    <w:p w14:paraId="1D81AFE0" w14:textId="4467D3B6" w:rsidR="004944F0" w:rsidRPr="00A33766" w:rsidRDefault="004944F0" w:rsidP="004944F0">
      <w:pPr>
        <w:spacing w:before="120" w:after="120"/>
        <w:rPr>
          <w:rFonts w:ascii="Arial" w:hAnsi="Arial" w:cs="Arial"/>
          <w:sz w:val="18"/>
          <w:szCs w:val="18"/>
        </w:rPr>
      </w:pPr>
      <w:r w:rsidRPr="008E741D">
        <w:rPr>
          <w:rFonts w:ascii="Arial" w:hAnsi="Arial" w:cs="Arial"/>
          <w:sz w:val="18"/>
          <w:szCs w:val="18"/>
        </w:rPr>
        <w:t xml:space="preserve">Where the conditions for development cannot be met or are not applicable indicate “no” under “Condition met”. A rationale </w:t>
      </w:r>
      <w:r w:rsidR="007B25BE">
        <w:rPr>
          <w:rFonts w:ascii="Arial" w:hAnsi="Arial" w:cs="Arial"/>
          <w:sz w:val="18"/>
          <w:szCs w:val="18"/>
        </w:rPr>
        <w:t>must be provided where the condition for development</w:t>
      </w:r>
      <w:r w:rsidRPr="008E741D">
        <w:rPr>
          <w:rFonts w:ascii="Arial" w:hAnsi="Arial" w:cs="Arial"/>
          <w:sz w:val="18"/>
          <w:szCs w:val="18"/>
        </w:rPr>
        <w:t xml:space="preserve"> cannot</w:t>
      </w:r>
      <w:r w:rsidR="007B25BE">
        <w:rPr>
          <w:rFonts w:ascii="Arial" w:hAnsi="Arial" w:cs="Arial"/>
          <w:sz w:val="18"/>
          <w:szCs w:val="18"/>
        </w:rPr>
        <w:t xml:space="preserve"> be</w:t>
      </w:r>
      <w:r w:rsidRPr="008E741D">
        <w:rPr>
          <w:rFonts w:ascii="Arial" w:hAnsi="Arial" w:cs="Arial"/>
          <w:sz w:val="18"/>
          <w:szCs w:val="18"/>
        </w:rPr>
        <w:t xml:space="preserve"> met as a summary statement following the table. </w:t>
      </w:r>
    </w:p>
    <w:tbl>
      <w:tblPr>
        <w:tblStyle w:val="TableGrid"/>
        <w:tblW w:w="10975" w:type="dxa"/>
        <w:tblLook w:val="04A0" w:firstRow="1" w:lastRow="0" w:firstColumn="1" w:lastColumn="0" w:noHBand="0" w:noVBand="1"/>
      </w:tblPr>
      <w:tblGrid>
        <w:gridCol w:w="9805"/>
        <w:gridCol w:w="1170"/>
      </w:tblGrid>
      <w:tr w:rsidR="004944F0" w14:paraId="43268BDB" w14:textId="77777777" w:rsidTr="007F213E">
        <w:tc>
          <w:tcPr>
            <w:tcW w:w="9805" w:type="dxa"/>
            <w:shd w:val="clear" w:color="auto" w:fill="83CAEB" w:themeFill="accent1" w:themeFillTint="66"/>
          </w:tcPr>
          <w:p w14:paraId="1344F2D4" w14:textId="77777777" w:rsidR="004944F0" w:rsidRPr="004944F0" w:rsidRDefault="004944F0" w:rsidP="004C5CF1">
            <w:pPr>
              <w:tabs>
                <w:tab w:val="left" w:pos="1336"/>
              </w:tabs>
              <w:rPr>
                <w:sz w:val="16"/>
                <w:szCs w:val="16"/>
              </w:rPr>
            </w:pPr>
            <w:r w:rsidRPr="004944F0">
              <w:rPr>
                <w:rFonts w:ascii="Arial" w:hAnsi="Arial" w:cs="Arial"/>
                <w:b/>
                <w:bCs/>
                <w:sz w:val="16"/>
                <w:szCs w:val="16"/>
              </w:rPr>
              <w:t>Condition for Development</w:t>
            </w:r>
          </w:p>
        </w:tc>
        <w:tc>
          <w:tcPr>
            <w:tcW w:w="1170" w:type="dxa"/>
            <w:shd w:val="clear" w:color="auto" w:fill="83CAEB" w:themeFill="accent1" w:themeFillTint="66"/>
          </w:tcPr>
          <w:p w14:paraId="5724694F" w14:textId="77777777" w:rsidR="004944F0" w:rsidRDefault="004944F0" w:rsidP="004C5CF1">
            <w:pPr>
              <w:rPr>
                <w:rFonts w:ascii="Arial" w:hAnsi="Arial" w:cs="Arial"/>
                <w:b/>
                <w:bCs/>
                <w:sz w:val="18"/>
                <w:szCs w:val="18"/>
              </w:rPr>
            </w:pPr>
            <w:r w:rsidRPr="00CD0F4D">
              <w:rPr>
                <w:rFonts w:ascii="Arial" w:hAnsi="Arial" w:cs="Arial"/>
                <w:b/>
                <w:bCs/>
                <w:sz w:val="18"/>
                <w:szCs w:val="18"/>
              </w:rPr>
              <w:t xml:space="preserve">Condition met </w:t>
            </w:r>
          </w:p>
          <w:p w14:paraId="2AE8E1AE" w14:textId="77777777" w:rsidR="004944F0" w:rsidRDefault="004944F0" w:rsidP="004C5CF1">
            <w:pPr>
              <w:tabs>
                <w:tab w:val="left" w:pos="1336"/>
              </w:tabs>
            </w:pPr>
            <w:r w:rsidRPr="00CD0F4D">
              <w:rPr>
                <w:rFonts w:ascii="Arial" w:hAnsi="Arial" w:cs="Arial"/>
                <w:b/>
                <w:bCs/>
                <w:sz w:val="18"/>
                <w:szCs w:val="18"/>
              </w:rPr>
              <w:t>(yes or no)</w:t>
            </w:r>
          </w:p>
        </w:tc>
      </w:tr>
      <w:tr w:rsidR="004944F0" w14:paraId="2295F825" w14:textId="77777777" w:rsidTr="004C5CF1">
        <w:tc>
          <w:tcPr>
            <w:tcW w:w="10975" w:type="dxa"/>
            <w:gridSpan w:val="2"/>
            <w:shd w:val="clear" w:color="auto" w:fill="C1E4F5" w:themeFill="accent1" w:themeFillTint="33"/>
          </w:tcPr>
          <w:p w14:paraId="38D01A83" w14:textId="77777777" w:rsidR="004944F0" w:rsidRPr="004944F0" w:rsidRDefault="004944F0" w:rsidP="004C5CF1">
            <w:pPr>
              <w:tabs>
                <w:tab w:val="left" w:pos="1336"/>
              </w:tabs>
              <w:rPr>
                <w:sz w:val="16"/>
                <w:szCs w:val="16"/>
              </w:rPr>
            </w:pPr>
            <w:r w:rsidRPr="004944F0">
              <w:rPr>
                <w:rFonts w:ascii="Arial" w:hAnsi="Arial" w:cs="Arial"/>
                <w:b/>
                <w:bCs/>
                <w:sz w:val="16"/>
                <w:szCs w:val="16"/>
              </w:rPr>
              <w:t>General</w:t>
            </w:r>
          </w:p>
        </w:tc>
      </w:tr>
      <w:tr w:rsidR="004944F0" w14:paraId="55E39BBE" w14:textId="77777777" w:rsidTr="007F213E">
        <w:tc>
          <w:tcPr>
            <w:tcW w:w="9805" w:type="dxa"/>
          </w:tcPr>
          <w:p w14:paraId="6E5D7423" w14:textId="77777777" w:rsidR="004944F0" w:rsidRPr="004944F0" w:rsidRDefault="004944F0" w:rsidP="004C5CF1">
            <w:pPr>
              <w:tabs>
                <w:tab w:val="left" w:pos="1336"/>
              </w:tabs>
              <w:rPr>
                <w:sz w:val="16"/>
                <w:szCs w:val="16"/>
              </w:rPr>
            </w:pPr>
            <w:r w:rsidRPr="004944F0">
              <w:rPr>
                <w:rFonts w:ascii="Arial" w:hAnsi="Arial" w:cs="Arial"/>
                <w:sz w:val="16"/>
                <w:szCs w:val="16"/>
                <w:lang w:val="en-CA"/>
              </w:rPr>
              <w:t>Has the permit-holder demonstrated the operational measures to avoid, minimize, and mitigate the cumulative effects on the Values and land users that may be exercising Treaty Rights in the area?</w:t>
            </w:r>
          </w:p>
        </w:tc>
        <w:tc>
          <w:tcPr>
            <w:tcW w:w="1170" w:type="dxa"/>
          </w:tcPr>
          <w:p w14:paraId="123D549C" w14:textId="77777777" w:rsidR="004944F0" w:rsidRDefault="004944F0" w:rsidP="004C5CF1">
            <w:pPr>
              <w:tabs>
                <w:tab w:val="left" w:pos="1336"/>
              </w:tabs>
            </w:pPr>
          </w:p>
        </w:tc>
      </w:tr>
      <w:tr w:rsidR="004944F0" w14:paraId="201DEE14" w14:textId="77777777" w:rsidTr="007F213E">
        <w:trPr>
          <w:trHeight w:val="188"/>
        </w:trPr>
        <w:tc>
          <w:tcPr>
            <w:tcW w:w="9805" w:type="dxa"/>
          </w:tcPr>
          <w:p w14:paraId="17DAB546" w14:textId="77777777" w:rsidR="004944F0" w:rsidRPr="004944F0" w:rsidRDefault="004944F0" w:rsidP="004C5CF1">
            <w:pPr>
              <w:tabs>
                <w:tab w:val="left" w:pos="1336"/>
              </w:tabs>
              <w:rPr>
                <w:sz w:val="16"/>
                <w:szCs w:val="16"/>
              </w:rPr>
            </w:pPr>
            <w:r w:rsidRPr="004944F0">
              <w:rPr>
                <w:rFonts w:ascii="Arial" w:hAnsi="Arial" w:cs="Arial"/>
                <w:sz w:val="16"/>
                <w:szCs w:val="16"/>
                <w:lang w:val="en-CA"/>
              </w:rPr>
              <w:t>Have activities been planned and carried out in a manner that will not undermine the Values?</w:t>
            </w:r>
          </w:p>
        </w:tc>
        <w:tc>
          <w:tcPr>
            <w:tcW w:w="1170" w:type="dxa"/>
          </w:tcPr>
          <w:p w14:paraId="3C68EB76" w14:textId="77777777" w:rsidR="004944F0" w:rsidRDefault="004944F0" w:rsidP="004C5CF1">
            <w:pPr>
              <w:tabs>
                <w:tab w:val="left" w:pos="1336"/>
              </w:tabs>
            </w:pPr>
          </w:p>
        </w:tc>
      </w:tr>
      <w:tr w:rsidR="004944F0" w14:paraId="27CC43B2" w14:textId="77777777" w:rsidTr="004C5CF1">
        <w:tc>
          <w:tcPr>
            <w:tcW w:w="10975" w:type="dxa"/>
            <w:gridSpan w:val="2"/>
            <w:shd w:val="clear" w:color="auto" w:fill="C1E4F5" w:themeFill="accent1" w:themeFillTint="33"/>
          </w:tcPr>
          <w:p w14:paraId="3743316F" w14:textId="77777777" w:rsidR="004944F0" w:rsidRPr="004944F0" w:rsidRDefault="004944F0" w:rsidP="004C5CF1">
            <w:pPr>
              <w:tabs>
                <w:tab w:val="left" w:pos="1336"/>
              </w:tabs>
              <w:rPr>
                <w:sz w:val="16"/>
                <w:szCs w:val="16"/>
              </w:rPr>
            </w:pPr>
            <w:r w:rsidRPr="004944F0">
              <w:rPr>
                <w:rFonts w:ascii="Arial" w:hAnsi="Arial" w:cs="Arial"/>
                <w:b/>
                <w:bCs/>
                <w:sz w:val="16"/>
                <w:szCs w:val="16"/>
              </w:rPr>
              <w:t>Have the following been included in the QP/QEP Assessment:</w:t>
            </w:r>
          </w:p>
        </w:tc>
      </w:tr>
      <w:tr w:rsidR="004944F0" w14:paraId="0B2E9A9F" w14:textId="77777777" w:rsidTr="007F213E">
        <w:tc>
          <w:tcPr>
            <w:tcW w:w="9805" w:type="dxa"/>
          </w:tcPr>
          <w:p w14:paraId="624DCB5E" w14:textId="77777777" w:rsidR="004944F0" w:rsidRPr="004944F0" w:rsidRDefault="004944F0" w:rsidP="004C5CF1">
            <w:pPr>
              <w:tabs>
                <w:tab w:val="left" w:pos="1336"/>
              </w:tabs>
              <w:rPr>
                <w:sz w:val="16"/>
                <w:szCs w:val="16"/>
              </w:rPr>
            </w:pPr>
            <w:r w:rsidRPr="004944F0">
              <w:rPr>
                <w:rFonts w:ascii="Arial" w:hAnsi="Arial" w:cs="Arial"/>
                <w:sz w:val="16"/>
                <w:szCs w:val="16"/>
                <w:lang w:val="en-CA"/>
              </w:rPr>
              <w:t>An explanation of the necessity of the proposed activity.</w:t>
            </w:r>
          </w:p>
        </w:tc>
        <w:tc>
          <w:tcPr>
            <w:tcW w:w="1170" w:type="dxa"/>
          </w:tcPr>
          <w:p w14:paraId="5D7FCED5" w14:textId="77777777" w:rsidR="004944F0" w:rsidRDefault="004944F0" w:rsidP="004C5CF1">
            <w:pPr>
              <w:tabs>
                <w:tab w:val="left" w:pos="1336"/>
              </w:tabs>
            </w:pPr>
          </w:p>
        </w:tc>
      </w:tr>
      <w:tr w:rsidR="004944F0" w14:paraId="6C1F8212" w14:textId="77777777" w:rsidTr="007F213E">
        <w:tc>
          <w:tcPr>
            <w:tcW w:w="9805" w:type="dxa"/>
          </w:tcPr>
          <w:p w14:paraId="15EE860E" w14:textId="77777777" w:rsidR="004944F0" w:rsidRPr="004944F0" w:rsidRDefault="004944F0" w:rsidP="004C5CF1">
            <w:pPr>
              <w:tabs>
                <w:tab w:val="left" w:pos="1336"/>
              </w:tabs>
              <w:rPr>
                <w:sz w:val="16"/>
                <w:szCs w:val="16"/>
              </w:rPr>
            </w:pPr>
            <w:r w:rsidRPr="004944F0">
              <w:rPr>
                <w:rFonts w:ascii="Arial" w:hAnsi="Arial" w:cs="Arial"/>
                <w:sz w:val="16"/>
                <w:szCs w:val="16"/>
                <w:lang w:val="en-CA"/>
              </w:rPr>
              <w:t>An estimate of equipment and personnel that will be mobilized, the timing and duration of works and construction.</w:t>
            </w:r>
          </w:p>
        </w:tc>
        <w:tc>
          <w:tcPr>
            <w:tcW w:w="1170" w:type="dxa"/>
          </w:tcPr>
          <w:p w14:paraId="7A9974B7" w14:textId="77777777" w:rsidR="004944F0" w:rsidRDefault="004944F0" w:rsidP="004C5CF1">
            <w:pPr>
              <w:tabs>
                <w:tab w:val="left" w:pos="1336"/>
              </w:tabs>
            </w:pPr>
          </w:p>
        </w:tc>
      </w:tr>
      <w:tr w:rsidR="004944F0" w14:paraId="0CF28F5A" w14:textId="77777777" w:rsidTr="007F213E">
        <w:tc>
          <w:tcPr>
            <w:tcW w:w="9805" w:type="dxa"/>
          </w:tcPr>
          <w:p w14:paraId="0FCDD478" w14:textId="20C632BD" w:rsidR="004944F0" w:rsidRPr="004944F0" w:rsidRDefault="00D71046" w:rsidP="004C5CF1">
            <w:pPr>
              <w:tabs>
                <w:tab w:val="left" w:pos="1336"/>
              </w:tabs>
              <w:rPr>
                <w:sz w:val="16"/>
                <w:szCs w:val="16"/>
              </w:rPr>
            </w:pPr>
            <w:r w:rsidRPr="004944F0">
              <w:rPr>
                <w:rFonts w:ascii="Arial" w:hAnsi="Arial" w:cs="Arial"/>
                <w:sz w:val="16"/>
                <w:szCs w:val="16"/>
                <w:lang w:val="en-CA"/>
              </w:rPr>
              <w:t>The proximity of the proposed development to known Values</w:t>
            </w:r>
            <w:r>
              <w:rPr>
                <w:rFonts w:ascii="Arial" w:hAnsi="Arial" w:cs="Arial"/>
                <w:sz w:val="16"/>
                <w:szCs w:val="16"/>
                <w:lang w:val="en-CA"/>
              </w:rPr>
              <w:t xml:space="preserve">, </w:t>
            </w:r>
            <w:bookmarkStart w:id="1" w:name="_Hlk169008503"/>
            <w:r>
              <w:rPr>
                <w:rFonts w:ascii="Arial" w:hAnsi="Arial" w:cs="Arial"/>
                <w:sz w:val="16"/>
                <w:szCs w:val="16"/>
                <w:lang w:val="en-CA"/>
              </w:rPr>
              <w:t xml:space="preserve">which includes </w:t>
            </w:r>
            <w:r w:rsidRPr="00B34095">
              <w:rPr>
                <w:rFonts w:ascii="Arial" w:hAnsi="Arial" w:cs="Arial"/>
                <w:sz w:val="16"/>
                <w:szCs w:val="16"/>
                <w:lang w:val="en-CA"/>
              </w:rPr>
              <w:t>Old Forest &amp; contiguous diverse ecosystems</w:t>
            </w:r>
            <w:r>
              <w:rPr>
                <w:rFonts w:ascii="Arial" w:hAnsi="Arial" w:cs="Arial"/>
                <w:sz w:val="16"/>
                <w:szCs w:val="16"/>
                <w:lang w:val="en-CA"/>
              </w:rPr>
              <w:t>, m</w:t>
            </w:r>
            <w:r w:rsidRPr="00B34095">
              <w:rPr>
                <w:rFonts w:ascii="Arial" w:hAnsi="Arial" w:cs="Arial"/>
                <w:sz w:val="16"/>
                <w:szCs w:val="16"/>
                <w:lang w:val="en-CA"/>
              </w:rPr>
              <w:t>oose &amp; moose habitat</w:t>
            </w:r>
            <w:r>
              <w:rPr>
                <w:rFonts w:ascii="Arial" w:hAnsi="Arial" w:cs="Arial"/>
                <w:sz w:val="16"/>
                <w:szCs w:val="16"/>
                <w:lang w:val="en-CA"/>
              </w:rPr>
              <w:t>, w</w:t>
            </w:r>
            <w:r w:rsidRPr="00B34095">
              <w:rPr>
                <w:rFonts w:ascii="Arial" w:hAnsi="Arial" w:cs="Arial"/>
                <w:sz w:val="16"/>
                <w:szCs w:val="16"/>
                <w:lang w:val="en-CA"/>
              </w:rPr>
              <w:t>ater, aquatic ecosystems &amp; riparian areas</w:t>
            </w:r>
            <w:r>
              <w:rPr>
                <w:rFonts w:ascii="Arial" w:hAnsi="Arial" w:cs="Arial"/>
                <w:sz w:val="16"/>
                <w:szCs w:val="16"/>
                <w:lang w:val="en-CA"/>
              </w:rPr>
              <w:t>, h</w:t>
            </w:r>
            <w:r w:rsidRPr="00B34095">
              <w:rPr>
                <w:rFonts w:ascii="Arial" w:hAnsi="Arial" w:cs="Arial"/>
                <w:sz w:val="16"/>
                <w:szCs w:val="16"/>
                <w:lang w:val="en-CA"/>
              </w:rPr>
              <w:t xml:space="preserve">abitat for grizzly &amp; other </w:t>
            </w:r>
            <w:proofErr w:type="gramStart"/>
            <w:r w:rsidRPr="00B34095">
              <w:rPr>
                <w:rFonts w:ascii="Arial" w:hAnsi="Arial" w:cs="Arial"/>
                <w:sz w:val="16"/>
                <w:szCs w:val="16"/>
                <w:lang w:val="en-CA"/>
              </w:rPr>
              <w:t>fur-bearers</w:t>
            </w:r>
            <w:proofErr w:type="gramEnd"/>
            <w:r>
              <w:rPr>
                <w:rFonts w:ascii="Arial" w:hAnsi="Arial" w:cs="Arial"/>
                <w:sz w:val="16"/>
                <w:szCs w:val="16"/>
                <w:lang w:val="en-CA"/>
              </w:rPr>
              <w:t>, and p</w:t>
            </w:r>
            <w:r w:rsidRPr="00B34095">
              <w:rPr>
                <w:rFonts w:ascii="Arial" w:hAnsi="Arial" w:cs="Arial"/>
                <w:sz w:val="16"/>
                <w:szCs w:val="16"/>
                <w:lang w:val="en-CA"/>
              </w:rPr>
              <w:t>eaceful enjoyment of land and culturally important areas</w:t>
            </w:r>
            <w:bookmarkEnd w:id="1"/>
            <w:r>
              <w:rPr>
                <w:rFonts w:ascii="Arial" w:hAnsi="Arial" w:cs="Arial"/>
                <w:sz w:val="16"/>
                <w:szCs w:val="16"/>
                <w:lang w:val="en-CA"/>
              </w:rPr>
              <w:t>.</w:t>
            </w:r>
          </w:p>
        </w:tc>
        <w:tc>
          <w:tcPr>
            <w:tcW w:w="1170" w:type="dxa"/>
          </w:tcPr>
          <w:p w14:paraId="665CB0AB" w14:textId="77777777" w:rsidR="004944F0" w:rsidRDefault="004944F0" w:rsidP="004C5CF1">
            <w:pPr>
              <w:tabs>
                <w:tab w:val="left" w:pos="1336"/>
              </w:tabs>
            </w:pPr>
          </w:p>
        </w:tc>
      </w:tr>
      <w:tr w:rsidR="004944F0" w14:paraId="4533D296" w14:textId="77777777" w:rsidTr="007F213E">
        <w:tc>
          <w:tcPr>
            <w:tcW w:w="9805" w:type="dxa"/>
          </w:tcPr>
          <w:p w14:paraId="50723381" w14:textId="77777777" w:rsidR="004944F0" w:rsidRPr="004944F0" w:rsidRDefault="004944F0" w:rsidP="004C5CF1">
            <w:pPr>
              <w:tabs>
                <w:tab w:val="left" w:pos="1336"/>
              </w:tabs>
              <w:rPr>
                <w:sz w:val="16"/>
                <w:szCs w:val="16"/>
              </w:rPr>
            </w:pPr>
            <w:r w:rsidRPr="004944F0">
              <w:rPr>
                <w:rFonts w:ascii="Arial" w:hAnsi="Arial" w:cs="Arial"/>
                <w:sz w:val="16"/>
                <w:szCs w:val="16"/>
                <w:lang w:val="en-CA"/>
              </w:rPr>
              <w:t>For activities that will involve New Disturbance, a summary of temporary and long-term changes to the landscape and surroundings including, but not limited to any infrastructure that will be installed, vegetation removal, water use, soil disturbance, changes to viewsheds or soundscapes, and any anticipated changes to access to the local area by land users.</w:t>
            </w:r>
          </w:p>
        </w:tc>
        <w:tc>
          <w:tcPr>
            <w:tcW w:w="1170" w:type="dxa"/>
          </w:tcPr>
          <w:p w14:paraId="482EC477" w14:textId="77777777" w:rsidR="004944F0" w:rsidRDefault="004944F0" w:rsidP="004C5CF1">
            <w:pPr>
              <w:tabs>
                <w:tab w:val="left" w:pos="1336"/>
              </w:tabs>
            </w:pPr>
          </w:p>
        </w:tc>
      </w:tr>
      <w:tr w:rsidR="004944F0" w14:paraId="63D7CE6B" w14:textId="77777777" w:rsidTr="007F213E">
        <w:tc>
          <w:tcPr>
            <w:tcW w:w="9805" w:type="dxa"/>
          </w:tcPr>
          <w:p w14:paraId="702297A9" w14:textId="77777777" w:rsidR="004944F0" w:rsidRPr="004944F0" w:rsidRDefault="004944F0" w:rsidP="004C5CF1">
            <w:pPr>
              <w:tabs>
                <w:tab w:val="left" w:pos="1336"/>
              </w:tabs>
              <w:rPr>
                <w:sz w:val="16"/>
                <w:szCs w:val="16"/>
              </w:rPr>
            </w:pPr>
            <w:r w:rsidRPr="004944F0">
              <w:rPr>
                <w:rFonts w:ascii="Arial" w:hAnsi="Arial" w:cs="Arial"/>
                <w:sz w:val="16"/>
                <w:szCs w:val="16"/>
                <w:lang w:val="en-CA"/>
              </w:rPr>
              <w:t>Identification, rationale, and status of ecological recovery (if applicable) for the Zone of Influence associated with the proposed activity.</w:t>
            </w:r>
          </w:p>
        </w:tc>
        <w:tc>
          <w:tcPr>
            <w:tcW w:w="1170" w:type="dxa"/>
          </w:tcPr>
          <w:p w14:paraId="7A21200F" w14:textId="77777777" w:rsidR="004944F0" w:rsidRDefault="004944F0" w:rsidP="004C5CF1">
            <w:pPr>
              <w:tabs>
                <w:tab w:val="left" w:pos="1336"/>
              </w:tabs>
            </w:pPr>
          </w:p>
        </w:tc>
      </w:tr>
      <w:tr w:rsidR="004944F0" w14:paraId="127A6D1F" w14:textId="77777777" w:rsidTr="007F213E">
        <w:trPr>
          <w:trHeight w:val="206"/>
        </w:trPr>
        <w:tc>
          <w:tcPr>
            <w:tcW w:w="9805" w:type="dxa"/>
          </w:tcPr>
          <w:p w14:paraId="6916B928" w14:textId="77777777" w:rsidR="004944F0" w:rsidRPr="004944F0" w:rsidRDefault="004944F0" w:rsidP="004C5CF1">
            <w:pPr>
              <w:tabs>
                <w:tab w:val="left" w:pos="1336"/>
              </w:tabs>
              <w:rPr>
                <w:sz w:val="16"/>
                <w:szCs w:val="16"/>
              </w:rPr>
            </w:pPr>
            <w:r w:rsidRPr="004944F0">
              <w:rPr>
                <w:rFonts w:ascii="Arial" w:hAnsi="Arial" w:cs="Arial"/>
                <w:sz w:val="16"/>
                <w:szCs w:val="16"/>
                <w:lang w:val="en-CA"/>
              </w:rPr>
              <w:t>Photographs, as applicable and particularly where physical site conditions differed from expected.</w:t>
            </w:r>
          </w:p>
        </w:tc>
        <w:tc>
          <w:tcPr>
            <w:tcW w:w="1170" w:type="dxa"/>
          </w:tcPr>
          <w:p w14:paraId="27CA2F04" w14:textId="77777777" w:rsidR="004944F0" w:rsidRDefault="004944F0" w:rsidP="004C5CF1">
            <w:pPr>
              <w:tabs>
                <w:tab w:val="left" w:pos="1336"/>
              </w:tabs>
            </w:pPr>
          </w:p>
        </w:tc>
      </w:tr>
      <w:tr w:rsidR="00A91AA5" w14:paraId="29029F3E" w14:textId="77777777" w:rsidTr="00B809A5">
        <w:trPr>
          <w:trHeight w:val="206"/>
        </w:trPr>
        <w:tc>
          <w:tcPr>
            <w:tcW w:w="10975" w:type="dxa"/>
            <w:gridSpan w:val="2"/>
            <w:shd w:val="clear" w:color="auto" w:fill="C1E4F5" w:themeFill="accent1" w:themeFillTint="33"/>
          </w:tcPr>
          <w:p w14:paraId="572E5F15" w14:textId="374F256A" w:rsidR="00A91AA5" w:rsidRPr="00A91AA5" w:rsidRDefault="00A91AA5" w:rsidP="004C5CF1">
            <w:pPr>
              <w:tabs>
                <w:tab w:val="left" w:pos="1336"/>
              </w:tabs>
              <w:rPr>
                <w:rFonts w:ascii="Arial" w:hAnsi="Arial" w:cs="Arial"/>
                <w:b/>
                <w:bCs/>
                <w:sz w:val="16"/>
                <w:szCs w:val="16"/>
              </w:rPr>
            </w:pPr>
            <w:r w:rsidRPr="00A91AA5">
              <w:rPr>
                <w:rFonts w:ascii="Arial" w:hAnsi="Arial" w:cs="Arial"/>
                <w:b/>
                <w:bCs/>
                <w:sz w:val="16"/>
                <w:szCs w:val="16"/>
              </w:rPr>
              <w:t>Site-Specific Mitigation Strategy Triggers</w:t>
            </w:r>
            <w:r w:rsidR="00B809A5">
              <w:rPr>
                <w:rFonts w:ascii="Arial" w:hAnsi="Arial" w:cs="Arial"/>
                <w:b/>
                <w:bCs/>
                <w:sz w:val="16"/>
                <w:szCs w:val="16"/>
              </w:rPr>
              <w:t>:</w:t>
            </w:r>
          </w:p>
        </w:tc>
      </w:tr>
      <w:tr w:rsidR="00A91AA5" w14:paraId="32D21582" w14:textId="77777777" w:rsidTr="007F213E">
        <w:trPr>
          <w:trHeight w:val="206"/>
        </w:trPr>
        <w:tc>
          <w:tcPr>
            <w:tcW w:w="9805" w:type="dxa"/>
          </w:tcPr>
          <w:p w14:paraId="2014889E" w14:textId="707A2E07" w:rsidR="00A91AA5" w:rsidRPr="000D5F4C" w:rsidRDefault="000D5F4C" w:rsidP="000D5F4C">
            <w:pPr>
              <w:tabs>
                <w:tab w:val="left" w:pos="1336"/>
              </w:tabs>
            </w:pPr>
            <w:r w:rsidRPr="000D5F4C">
              <w:rPr>
                <w:rFonts w:ascii="Arial" w:hAnsi="Arial" w:cs="Arial"/>
                <w:sz w:val="16"/>
                <w:szCs w:val="16"/>
                <w:lang w:val="en-CA"/>
              </w:rPr>
              <w:t>Impacts to Old Forest and/or Recruitment Forest. Proponents must demonstrate how impacts to Old Forest (140+) and Recruitment Forest (120+) have been minimized, considering the characteristics of the Old Forest/Recruitment Forest that will be impacted.</w:t>
            </w:r>
            <w:r w:rsidRPr="000D5F4C">
              <w:t xml:space="preserve"> </w:t>
            </w:r>
          </w:p>
        </w:tc>
        <w:tc>
          <w:tcPr>
            <w:tcW w:w="1170" w:type="dxa"/>
          </w:tcPr>
          <w:p w14:paraId="4EC9E7E5" w14:textId="77777777" w:rsidR="00A91AA5" w:rsidRDefault="00A91AA5" w:rsidP="004C5CF1">
            <w:pPr>
              <w:tabs>
                <w:tab w:val="left" w:pos="1336"/>
              </w:tabs>
            </w:pPr>
          </w:p>
        </w:tc>
      </w:tr>
      <w:tr w:rsidR="00A91AA5" w14:paraId="4A3B3983" w14:textId="77777777" w:rsidTr="007F213E">
        <w:trPr>
          <w:trHeight w:val="206"/>
        </w:trPr>
        <w:tc>
          <w:tcPr>
            <w:tcW w:w="9805" w:type="dxa"/>
          </w:tcPr>
          <w:p w14:paraId="6D110370" w14:textId="17A3D779" w:rsidR="00A91AA5" w:rsidRPr="00715C24" w:rsidRDefault="00AF184B" w:rsidP="00AF184B">
            <w:pPr>
              <w:tabs>
                <w:tab w:val="left" w:pos="1336"/>
              </w:tabs>
              <w:rPr>
                <w:rFonts w:ascii="Arial" w:hAnsi="Arial" w:cs="Arial"/>
                <w:sz w:val="16"/>
                <w:szCs w:val="16"/>
                <w:lang w:val="en-CA"/>
              </w:rPr>
            </w:pPr>
            <w:r w:rsidRPr="00AF184B">
              <w:rPr>
                <w:rFonts w:ascii="Arial" w:hAnsi="Arial" w:cs="Arial"/>
                <w:sz w:val="16"/>
                <w:szCs w:val="16"/>
                <w:lang w:val="en-CA"/>
              </w:rPr>
              <w:t xml:space="preserve">Impacts to critical habitat for federally listed Species at Risk, or habitat that has a reasonable likelihood of supporting provincially listed Species at Risk and/or Endangered/threatened ecosystems, as identified in the BC Conservation Data Centre. </w:t>
            </w:r>
          </w:p>
        </w:tc>
        <w:tc>
          <w:tcPr>
            <w:tcW w:w="1170" w:type="dxa"/>
          </w:tcPr>
          <w:p w14:paraId="40BDBE52" w14:textId="77777777" w:rsidR="00A91AA5" w:rsidRDefault="00A91AA5" w:rsidP="004C5CF1">
            <w:pPr>
              <w:tabs>
                <w:tab w:val="left" w:pos="1336"/>
              </w:tabs>
            </w:pPr>
          </w:p>
        </w:tc>
      </w:tr>
      <w:tr w:rsidR="00AF184B" w14:paraId="23C0A6B4" w14:textId="77777777" w:rsidTr="007F213E">
        <w:trPr>
          <w:trHeight w:val="206"/>
        </w:trPr>
        <w:tc>
          <w:tcPr>
            <w:tcW w:w="9805" w:type="dxa"/>
          </w:tcPr>
          <w:p w14:paraId="16E21A70" w14:textId="765C54CE" w:rsidR="00AF184B" w:rsidRPr="00715C24" w:rsidRDefault="008A3254" w:rsidP="0023787D">
            <w:pPr>
              <w:tabs>
                <w:tab w:val="left" w:pos="1336"/>
              </w:tabs>
              <w:rPr>
                <w:rFonts w:ascii="Arial" w:hAnsi="Arial" w:cs="Arial"/>
                <w:sz w:val="16"/>
                <w:szCs w:val="16"/>
                <w:lang w:val="en-CA"/>
              </w:rPr>
            </w:pPr>
            <w:r w:rsidRPr="00715C24">
              <w:rPr>
                <w:rFonts w:ascii="Arial" w:hAnsi="Arial" w:cs="Arial"/>
                <w:sz w:val="16"/>
                <w:szCs w:val="16"/>
                <w:lang w:val="en-CA"/>
              </w:rPr>
              <w:t>Impacts to aquatic habitat (e.g., watercourses and wetlands) as allowable by these conditions, except to facilitate a low risk crossing as defined in Section 7.6.1</w:t>
            </w:r>
            <w:r w:rsidR="00B809A5">
              <w:rPr>
                <w:rFonts w:ascii="Arial" w:hAnsi="Arial" w:cs="Arial"/>
                <w:sz w:val="16"/>
                <w:szCs w:val="16"/>
                <w:lang w:val="en-CA"/>
              </w:rPr>
              <w:t xml:space="preserve"> of the Gundy Complex HV1-C Plan</w:t>
            </w:r>
            <w:r w:rsidRPr="00715C24">
              <w:rPr>
                <w:rFonts w:ascii="Arial" w:hAnsi="Arial" w:cs="Arial"/>
                <w:sz w:val="16"/>
                <w:szCs w:val="16"/>
                <w:lang w:val="en-CA"/>
              </w:rPr>
              <w:t xml:space="preserve">. </w:t>
            </w:r>
          </w:p>
        </w:tc>
        <w:tc>
          <w:tcPr>
            <w:tcW w:w="1170" w:type="dxa"/>
          </w:tcPr>
          <w:p w14:paraId="7B1D07C9" w14:textId="77777777" w:rsidR="00AF184B" w:rsidRDefault="00AF184B" w:rsidP="004C5CF1">
            <w:pPr>
              <w:tabs>
                <w:tab w:val="left" w:pos="1336"/>
              </w:tabs>
            </w:pPr>
          </w:p>
        </w:tc>
      </w:tr>
      <w:tr w:rsidR="00AF184B" w14:paraId="072045CF" w14:textId="77777777" w:rsidTr="007F213E">
        <w:trPr>
          <w:trHeight w:val="206"/>
        </w:trPr>
        <w:tc>
          <w:tcPr>
            <w:tcW w:w="9805" w:type="dxa"/>
          </w:tcPr>
          <w:p w14:paraId="1DC69866" w14:textId="4BDA9A16" w:rsidR="00AF184B" w:rsidRPr="00715C24" w:rsidRDefault="00EF29CF" w:rsidP="0023787D">
            <w:pPr>
              <w:tabs>
                <w:tab w:val="left" w:pos="1336"/>
              </w:tabs>
              <w:rPr>
                <w:rFonts w:ascii="Arial" w:hAnsi="Arial" w:cs="Arial"/>
                <w:sz w:val="16"/>
                <w:szCs w:val="16"/>
                <w:lang w:val="en-CA"/>
              </w:rPr>
            </w:pPr>
            <w:r w:rsidRPr="00715C24">
              <w:rPr>
                <w:rFonts w:ascii="Arial" w:hAnsi="Arial" w:cs="Arial"/>
                <w:sz w:val="16"/>
                <w:szCs w:val="16"/>
                <w:lang w:val="en-CA"/>
              </w:rPr>
              <w:t>Impacts to a Riparian Management Area (as defined in Figure 6</w:t>
            </w:r>
            <w:r w:rsidR="00B809A5">
              <w:rPr>
                <w:rFonts w:ascii="Arial" w:hAnsi="Arial" w:cs="Arial"/>
                <w:sz w:val="16"/>
                <w:szCs w:val="16"/>
                <w:lang w:val="en-CA"/>
              </w:rPr>
              <w:t xml:space="preserve"> of the Gundy Complex HV1-C Plan</w:t>
            </w:r>
            <w:r w:rsidRPr="00715C24">
              <w:rPr>
                <w:rFonts w:ascii="Arial" w:hAnsi="Arial" w:cs="Arial"/>
                <w:sz w:val="16"/>
                <w:szCs w:val="16"/>
                <w:lang w:val="en-CA"/>
              </w:rPr>
              <w:t xml:space="preserve">), except to facilitate a </w:t>
            </w:r>
            <w:proofErr w:type="gramStart"/>
            <w:r w:rsidRPr="00715C24">
              <w:rPr>
                <w:rFonts w:ascii="Arial" w:hAnsi="Arial" w:cs="Arial"/>
                <w:sz w:val="16"/>
                <w:szCs w:val="16"/>
                <w:lang w:val="en-CA"/>
              </w:rPr>
              <w:t>low risk</w:t>
            </w:r>
            <w:proofErr w:type="gramEnd"/>
            <w:r w:rsidRPr="00715C24">
              <w:rPr>
                <w:rFonts w:ascii="Arial" w:hAnsi="Arial" w:cs="Arial"/>
                <w:sz w:val="16"/>
                <w:szCs w:val="16"/>
                <w:lang w:val="en-CA"/>
              </w:rPr>
              <w:t xml:space="preserve"> crossing </w:t>
            </w:r>
            <w:r w:rsidR="00B809A5">
              <w:rPr>
                <w:rFonts w:ascii="Arial" w:hAnsi="Arial" w:cs="Arial"/>
                <w:sz w:val="16"/>
                <w:szCs w:val="16"/>
                <w:lang w:val="en-CA"/>
              </w:rPr>
              <w:t>(see Section 6.7.1 of the Gundy Complex Hv1-C Plan).</w:t>
            </w:r>
            <w:r w:rsidRPr="00715C24">
              <w:rPr>
                <w:rFonts w:ascii="Arial" w:hAnsi="Arial" w:cs="Arial"/>
                <w:sz w:val="16"/>
                <w:szCs w:val="16"/>
                <w:lang w:val="en-CA"/>
              </w:rPr>
              <w:t xml:space="preserve"> </w:t>
            </w:r>
          </w:p>
        </w:tc>
        <w:tc>
          <w:tcPr>
            <w:tcW w:w="1170" w:type="dxa"/>
          </w:tcPr>
          <w:p w14:paraId="66D15113" w14:textId="77777777" w:rsidR="00AF184B" w:rsidRDefault="00AF184B" w:rsidP="004C5CF1">
            <w:pPr>
              <w:tabs>
                <w:tab w:val="left" w:pos="1336"/>
              </w:tabs>
            </w:pPr>
          </w:p>
        </w:tc>
      </w:tr>
      <w:tr w:rsidR="00EF29CF" w14:paraId="2AC0BF47" w14:textId="77777777" w:rsidTr="007F213E">
        <w:trPr>
          <w:trHeight w:val="206"/>
        </w:trPr>
        <w:tc>
          <w:tcPr>
            <w:tcW w:w="9805" w:type="dxa"/>
          </w:tcPr>
          <w:p w14:paraId="0CACC4E4" w14:textId="50F5B012" w:rsidR="00EF29CF" w:rsidRPr="00715C24" w:rsidRDefault="008C6A8E" w:rsidP="00715C24">
            <w:pPr>
              <w:tabs>
                <w:tab w:val="left" w:pos="1336"/>
              </w:tabs>
              <w:rPr>
                <w:rFonts w:ascii="Arial" w:hAnsi="Arial" w:cs="Arial"/>
                <w:sz w:val="16"/>
                <w:szCs w:val="16"/>
                <w:lang w:val="en-CA"/>
              </w:rPr>
            </w:pPr>
            <w:r w:rsidRPr="00715C24">
              <w:rPr>
                <w:rFonts w:ascii="Arial" w:hAnsi="Arial" w:cs="Arial"/>
                <w:sz w:val="16"/>
                <w:szCs w:val="16"/>
                <w:lang w:val="en-CA"/>
              </w:rPr>
              <w:t xml:space="preserve">New </w:t>
            </w:r>
            <w:proofErr w:type="spellStart"/>
            <w:r w:rsidRPr="00715C24">
              <w:rPr>
                <w:rFonts w:ascii="Arial" w:hAnsi="Arial" w:cs="Arial"/>
                <w:sz w:val="16"/>
                <w:szCs w:val="16"/>
                <w:lang w:val="en-CA"/>
              </w:rPr>
              <w:t>wellpad</w:t>
            </w:r>
            <w:proofErr w:type="spellEnd"/>
            <w:r w:rsidRPr="00715C24">
              <w:rPr>
                <w:rFonts w:ascii="Arial" w:hAnsi="Arial" w:cs="Arial"/>
                <w:sz w:val="16"/>
                <w:szCs w:val="16"/>
                <w:lang w:val="en-CA"/>
              </w:rPr>
              <w:t xml:space="preserve"> within a Riparian Management Area</w:t>
            </w:r>
            <w:r w:rsidR="006602F0">
              <w:rPr>
                <w:rFonts w:ascii="Arial" w:hAnsi="Arial" w:cs="Arial"/>
                <w:sz w:val="16"/>
                <w:szCs w:val="16"/>
                <w:lang w:val="en-CA"/>
              </w:rPr>
              <w:t xml:space="preserve"> (as defined in Figure 6 of the Gundy HV1-C Plan)</w:t>
            </w:r>
            <w:r w:rsidRPr="00715C24">
              <w:rPr>
                <w:rFonts w:ascii="Arial" w:hAnsi="Arial" w:cs="Arial"/>
                <w:sz w:val="16"/>
                <w:szCs w:val="16"/>
                <w:lang w:val="en-CA"/>
              </w:rPr>
              <w:t xml:space="preserve">. </w:t>
            </w:r>
          </w:p>
        </w:tc>
        <w:tc>
          <w:tcPr>
            <w:tcW w:w="1170" w:type="dxa"/>
          </w:tcPr>
          <w:p w14:paraId="5B0A0723" w14:textId="77777777" w:rsidR="00EF29CF" w:rsidRDefault="00EF29CF" w:rsidP="004C5CF1">
            <w:pPr>
              <w:tabs>
                <w:tab w:val="left" w:pos="1336"/>
              </w:tabs>
            </w:pPr>
          </w:p>
        </w:tc>
      </w:tr>
      <w:tr w:rsidR="00EF29CF" w14:paraId="702EC070" w14:textId="77777777" w:rsidTr="007F213E">
        <w:trPr>
          <w:trHeight w:val="206"/>
        </w:trPr>
        <w:tc>
          <w:tcPr>
            <w:tcW w:w="9805" w:type="dxa"/>
          </w:tcPr>
          <w:p w14:paraId="33E64248" w14:textId="16D13A61" w:rsidR="00EF29CF" w:rsidRPr="00715C24" w:rsidRDefault="002A0E00" w:rsidP="00715C24">
            <w:pPr>
              <w:tabs>
                <w:tab w:val="left" w:pos="1336"/>
              </w:tabs>
              <w:rPr>
                <w:rFonts w:ascii="Arial" w:hAnsi="Arial" w:cs="Arial"/>
                <w:sz w:val="16"/>
                <w:szCs w:val="16"/>
                <w:lang w:val="en-CA"/>
              </w:rPr>
            </w:pPr>
            <w:r w:rsidRPr="00715C24">
              <w:rPr>
                <w:rFonts w:ascii="Arial" w:hAnsi="Arial" w:cs="Arial"/>
                <w:sz w:val="16"/>
                <w:szCs w:val="16"/>
                <w:lang w:val="en-CA"/>
              </w:rPr>
              <w:t xml:space="preserve">Impact high suitability/capability moose habitat and/or fisher habitat. </w:t>
            </w:r>
          </w:p>
        </w:tc>
        <w:tc>
          <w:tcPr>
            <w:tcW w:w="1170" w:type="dxa"/>
          </w:tcPr>
          <w:p w14:paraId="2389953B" w14:textId="77777777" w:rsidR="00EF29CF" w:rsidRDefault="00EF29CF" w:rsidP="004C5CF1">
            <w:pPr>
              <w:tabs>
                <w:tab w:val="left" w:pos="1336"/>
              </w:tabs>
            </w:pPr>
          </w:p>
        </w:tc>
      </w:tr>
      <w:tr w:rsidR="002A0E00" w14:paraId="2DFCC5FD" w14:textId="77777777" w:rsidTr="007F213E">
        <w:trPr>
          <w:trHeight w:val="206"/>
        </w:trPr>
        <w:tc>
          <w:tcPr>
            <w:tcW w:w="9805" w:type="dxa"/>
          </w:tcPr>
          <w:p w14:paraId="43FEA3EE" w14:textId="2B5D9787" w:rsidR="002A0E00" w:rsidRPr="00715C24" w:rsidRDefault="0023787D" w:rsidP="00715C24">
            <w:pPr>
              <w:tabs>
                <w:tab w:val="left" w:pos="1336"/>
              </w:tabs>
              <w:rPr>
                <w:rFonts w:ascii="Arial" w:hAnsi="Arial" w:cs="Arial"/>
                <w:sz w:val="16"/>
                <w:szCs w:val="16"/>
                <w:lang w:val="en-CA"/>
              </w:rPr>
            </w:pPr>
            <w:r w:rsidRPr="00715C24">
              <w:rPr>
                <w:rFonts w:ascii="Arial" w:hAnsi="Arial" w:cs="Arial"/>
                <w:sz w:val="16"/>
                <w:szCs w:val="16"/>
                <w:lang w:val="en-CA"/>
              </w:rPr>
              <w:t>Carrying out Oil and Gas activities in high or moderate value moose habitat that may disrupt moose during the caution or critical moose timing window.</w:t>
            </w:r>
          </w:p>
        </w:tc>
        <w:tc>
          <w:tcPr>
            <w:tcW w:w="1170" w:type="dxa"/>
          </w:tcPr>
          <w:p w14:paraId="1AE3BE00" w14:textId="77777777" w:rsidR="002A0E00" w:rsidRDefault="002A0E00" w:rsidP="004C5CF1">
            <w:pPr>
              <w:tabs>
                <w:tab w:val="left" w:pos="1336"/>
              </w:tabs>
            </w:pPr>
          </w:p>
        </w:tc>
      </w:tr>
      <w:tr w:rsidR="004944F0" w14:paraId="39B76180" w14:textId="77777777" w:rsidTr="004C5CF1">
        <w:tc>
          <w:tcPr>
            <w:tcW w:w="10975" w:type="dxa"/>
            <w:gridSpan w:val="2"/>
            <w:shd w:val="clear" w:color="auto" w:fill="C1E4F5" w:themeFill="accent1" w:themeFillTint="33"/>
          </w:tcPr>
          <w:p w14:paraId="7DB8E85E" w14:textId="77777777" w:rsidR="004944F0" w:rsidRPr="004944F0" w:rsidRDefault="004944F0" w:rsidP="004C5CF1">
            <w:pPr>
              <w:tabs>
                <w:tab w:val="left" w:pos="1336"/>
              </w:tabs>
              <w:rPr>
                <w:sz w:val="16"/>
                <w:szCs w:val="16"/>
              </w:rPr>
            </w:pPr>
            <w:r w:rsidRPr="004944F0">
              <w:rPr>
                <w:rFonts w:ascii="Arial" w:hAnsi="Arial" w:cs="Arial"/>
                <w:b/>
                <w:bCs/>
                <w:sz w:val="16"/>
                <w:szCs w:val="16"/>
              </w:rPr>
              <w:t>Operational rules</w:t>
            </w:r>
          </w:p>
        </w:tc>
      </w:tr>
      <w:tr w:rsidR="004944F0" w14:paraId="2D71F5C4" w14:textId="77777777" w:rsidTr="007F213E">
        <w:tc>
          <w:tcPr>
            <w:tcW w:w="9805" w:type="dxa"/>
          </w:tcPr>
          <w:p w14:paraId="4B242F03"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Does the proposed project and associated activities adhere to the minimum expected widths for the Riparian Management Zone (RMZ), Riparian Reserve Zone (RRZ), and Riparian Management Area (RMA) identified in Table 2 of the Gundy Complex HV1-C Plan?</w:t>
            </w:r>
            <w:r w:rsidRPr="004944F0">
              <w:rPr>
                <w:rFonts w:ascii="Source Sans Pro" w:hAnsi="Source Sans Pro"/>
                <w:sz w:val="16"/>
                <w:szCs w:val="16"/>
              </w:rPr>
              <w:t xml:space="preserve"> </w:t>
            </w:r>
          </w:p>
        </w:tc>
        <w:tc>
          <w:tcPr>
            <w:tcW w:w="1170" w:type="dxa"/>
          </w:tcPr>
          <w:p w14:paraId="462C52D1" w14:textId="77777777" w:rsidR="004944F0" w:rsidRDefault="004944F0" w:rsidP="004C5CF1">
            <w:pPr>
              <w:tabs>
                <w:tab w:val="left" w:pos="1336"/>
              </w:tabs>
            </w:pPr>
          </w:p>
        </w:tc>
      </w:tr>
      <w:tr w:rsidR="004944F0" w14:paraId="08934AC9" w14:textId="77777777" w:rsidTr="007F213E">
        <w:tc>
          <w:tcPr>
            <w:tcW w:w="9805" w:type="dxa"/>
          </w:tcPr>
          <w:p w14:paraId="07EE31E1" w14:textId="77777777" w:rsidR="004944F0" w:rsidRPr="004944F0" w:rsidRDefault="004944F0" w:rsidP="004C5CF1">
            <w:pPr>
              <w:rPr>
                <w:rFonts w:ascii="Source Sans Pro" w:hAnsi="Source Sans Pro"/>
                <w:sz w:val="16"/>
                <w:szCs w:val="16"/>
              </w:rPr>
            </w:pPr>
            <w:r w:rsidRPr="004944F0">
              <w:rPr>
                <w:rFonts w:ascii="Arial" w:hAnsi="Arial" w:cs="Arial"/>
                <w:sz w:val="16"/>
                <w:szCs w:val="16"/>
                <w:lang w:val="en-CA"/>
              </w:rPr>
              <w:t>Does the proposed project and associated activities adhere to the following minimum setbacks:</w:t>
            </w:r>
          </w:p>
          <w:p w14:paraId="57FC37C3"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1 km setback from known/identified First Nations’ cabins as established.</w:t>
            </w:r>
          </w:p>
          <w:p w14:paraId="01F4286F"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500m setback from First Nations’ campsites, spiritual and medicinal plant sites</w:t>
            </w:r>
          </w:p>
          <w:p w14:paraId="0EBFCFB7" w14:textId="77777777" w:rsidR="004944F0" w:rsidRPr="004944F0" w:rsidRDefault="004944F0" w:rsidP="004944F0">
            <w:pPr>
              <w:pStyle w:val="ListParagraph"/>
              <w:numPr>
                <w:ilvl w:val="0"/>
                <w:numId w:val="1"/>
              </w:numPr>
              <w:rPr>
                <w:rFonts w:ascii="Arial" w:hAnsi="Arial" w:cs="Arial"/>
                <w:sz w:val="16"/>
                <w:szCs w:val="16"/>
              </w:rPr>
            </w:pPr>
            <w:r w:rsidRPr="004944F0">
              <w:rPr>
                <w:rFonts w:ascii="Arial" w:hAnsi="Arial" w:cs="Arial"/>
                <w:sz w:val="16"/>
                <w:szCs w:val="16"/>
                <w:lang w:val="en-CA"/>
              </w:rPr>
              <w:t>250m setback from mineral licks or wallows and established cultural trails.</w:t>
            </w:r>
          </w:p>
          <w:p w14:paraId="6F906B75" w14:textId="77777777" w:rsidR="007B25BE" w:rsidRPr="007B25BE" w:rsidRDefault="004944F0" w:rsidP="007B25BE">
            <w:pPr>
              <w:pStyle w:val="ListParagraph"/>
              <w:numPr>
                <w:ilvl w:val="0"/>
                <w:numId w:val="1"/>
              </w:numPr>
              <w:rPr>
                <w:rFonts w:ascii="Arial" w:hAnsi="Arial" w:cs="Arial"/>
                <w:sz w:val="16"/>
                <w:szCs w:val="16"/>
              </w:rPr>
            </w:pPr>
            <w:r w:rsidRPr="004944F0">
              <w:rPr>
                <w:rFonts w:ascii="Arial" w:hAnsi="Arial" w:cs="Arial"/>
                <w:sz w:val="16"/>
                <w:szCs w:val="16"/>
                <w:lang w:val="en-CA"/>
              </w:rPr>
              <w:t>1 km setback from First Nations burial sites for all activities.</w:t>
            </w:r>
          </w:p>
        </w:tc>
        <w:tc>
          <w:tcPr>
            <w:tcW w:w="1170" w:type="dxa"/>
          </w:tcPr>
          <w:p w14:paraId="12775F64" w14:textId="77777777" w:rsidR="004944F0" w:rsidRDefault="004944F0" w:rsidP="004C5CF1">
            <w:pPr>
              <w:tabs>
                <w:tab w:val="left" w:pos="1336"/>
              </w:tabs>
            </w:pPr>
          </w:p>
        </w:tc>
      </w:tr>
      <w:tr w:rsidR="004944F0" w14:paraId="1538C74A" w14:textId="77777777" w:rsidTr="007F213E">
        <w:tc>
          <w:tcPr>
            <w:tcW w:w="9805" w:type="dxa"/>
          </w:tcPr>
          <w:p w14:paraId="15A8B120" w14:textId="77777777" w:rsidR="004944F0" w:rsidRPr="004944F0" w:rsidRDefault="004944F0" w:rsidP="004C5CF1">
            <w:pPr>
              <w:spacing w:before="60" w:after="60"/>
              <w:rPr>
                <w:rFonts w:ascii="Arial" w:hAnsi="Arial" w:cs="Arial"/>
                <w:sz w:val="16"/>
                <w:szCs w:val="16"/>
                <w:lang w:val="en-CA"/>
              </w:rPr>
            </w:pPr>
            <w:r w:rsidRPr="004944F0">
              <w:rPr>
                <w:rFonts w:ascii="Arial" w:hAnsi="Arial" w:cs="Arial"/>
                <w:sz w:val="16"/>
                <w:szCs w:val="16"/>
                <w:lang w:val="en-CA"/>
              </w:rPr>
              <w:t>If the proposed project occurs within 250m of the Protection Zone, have the following impacts been addressed:</w:t>
            </w:r>
          </w:p>
          <w:p w14:paraId="039FE3A2"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Windthrow hazard.</w:t>
            </w:r>
          </w:p>
          <w:p w14:paraId="27EC6A83"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Introducing deleterious materials or invasive species.</w:t>
            </w:r>
          </w:p>
          <w:p w14:paraId="33BEE0F5"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 xml:space="preserve">Changes in </w:t>
            </w:r>
            <w:proofErr w:type="spellStart"/>
            <w:r w:rsidRPr="004944F0">
              <w:rPr>
                <w:rFonts w:ascii="Arial" w:hAnsi="Arial" w:cs="Arial"/>
                <w:sz w:val="16"/>
                <w:szCs w:val="16"/>
                <w:lang w:val="en-CA"/>
              </w:rPr>
              <w:t>viewscapes</w:t>
            </w:r>
            <w:proofErr w:type="spellEnd"/>
            <w:r w:rsidRPr="004944F0">
              <w:rPr>
                <w:rFonts w:ascii="Arial" w:hAnsi="Arial" w:cs="Arial"/>
                <w:sz w:val="16"/>
                <w:szCs w:val="16"/>
                <w:lang w:val="en-CA"/>
              </w:rPr>
              <w:t xml:space="preserve"> and soundscapes.</w:t>
            </w:r>
          </w:p>
          <w:p w14:paraId="3CC8E7C7" w14:textId="77777777" w:rsidR="004944F0" w:rsidRPr="004944F0" w:rsidRDefault="004944F0" w:rsidP="004944F0">
            <w:pPr>
              <w:pStyle w:val="ListParagraph"/>
              <w:numPr>
                <w:ilvl w:val="0"/>
                <w:numId w:val="1"/>
              </w:numPr>
              <w:rPr>
                <w:rFonts w:ascii="Arial" w:hAnsi="Arial" w:cs="Arial"/>
                <w:sz w:val="16"/>
                <w:szCs w:val="16"/>
              </w:rPr>
            </w:pPr>
            <w:r w:rsidRPr="004944F0">
              <w:rPr>
                <w:rFonts w:ascii="Arial" w:hAnsi="Arial" w:cs="Arial"/>
                <w:sz w:val="16"/>
                <w:szCs w:val="16"/>
                <w:lang w:val="en-CA"/>
              </w:rPr>
              <w:t>Change in hydrological flows.</w:t>
            </w:r>
          </w:p>
          <w:p w14:paraId="02708FCB" w14:textId="77777777" w:rsidR="004944F0" w:rsidRPr="004944F0" w:rsidRDefault="004944F0" w:rsidP="004944F0">
            <w:pPr>
              <w:pStyle w:val="ListParagraph"/>
              <w:numPr>
                <w:ilvl w:val="0"/>
                <w:numId w:val="1"/>
              </w:numPr>
              <w:rPr>
                <w:rFonts w:ascii="Arial" w:hAnsi="Arial" w:cs="Arial"/>
                <w:sz w:val="16"/>
                <w:szCs w:val="16"/>
              </w:rPr>
            </w:pPr>
            <w:r w:rsidRPr="004944F0">
              <w:rPr>
                <w:rFonts w:ascii="Arial" w:hAnsi="Arial" w:cs="Arial"/>
                <w:sz w:val="16"/>
                <w:szCs w:val="16"/>
                <w:lang w:val="en-CA"/>
              </w:rPr>
              <w:lastRenderedPageBreak/>
              <w:t>Increased erosion and slope instability.</w:t>
            </w:r>
          </w:p>
        </w:tc>
        <w:tc>
          <w:tcPr>
            <w:tcW w:w="1170" w:type="dxa"/>
          </w:tcPr>
          <w:p w14:paraId="334911B3" w14:textId="77777777" w:rsidR="004944F0" w:rsidRDefault="004944F0" w:rsidP="004C5CF1">
            <w:pPr>
              <w:tabs>
                <w:tab w:val="left" w:pos="1336"/>
              </w:tabs>
            </w:pPr>
          </w:p>
        </w:tc>
      </w:tr>
      <w:tr w:rsidR="004944F0" w14:paraId="30FC3716" w14:textId="77777777" w:rsidTr="007F213E">
        <w:tc>
          <w:tcPr>
            <w:tcW w:w="9805" w:type="dxa"/>
          </w:tcPr>
          <w:p w14:paraId="3E422266"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Has the timing of the project considered impacts to land users?</w:t>
            </w:r>
            <w:r w:rsidRPr="004944F0">
              <w:rPr>
                <w:rFonts w:ascii="Source Sans Pro" w:hAnsi="Source Sans Pro"/>
                <w:b/>
                <w:bCs/>
                <w:sz w:val="16"/>
                <w:szCs w:val="16"/>
              </w:rPr>
              <w:t xml:space="preserve"> </w:t>
            </w:r>
          </w:p>
        </w:tc>
        <w:tc>
          <w:tcPr>
            <w:tcW w:w="1170" w:type="dxa"/>
          </w:tcPr>
          <w:p w14:paraId="0A2E6598" w14:textId="77777777" w:rsidR="004944F0" w:rsidRDefault="004944F0" w:rsidP="004C5CF1">
            <w:pPr>
              <w:tabs>
                <w:tab w:val="left" w:pos="1336"/>
              </w:tabs>
            </w:pPr>
          </w:p>
        </w:tc>
      </w:tr>
      <w:tr w:rsidR="004944F0" w14:paraId="1E42C4E6" w14:textId="77777777" w:rsidTr="007F213E">
        <w:tc>
          <w:tcPr>
            <w:tcW w:w="9805" w:type="dxa"/>
          </w:tcPr>
          <w:p w14:paraId="56DA09AD"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Are activities with the potential to increase stress on moose planned to occur outside of the critical activity period, between May 15 and July 15?</w:t>
            </w:r>
          </w:p>
        </w:tc>
        <w:tc>
          <w:tcPr>
            <w:tcW w:w="1170" w:type="dxa"/>
          </w:tcPr>
          <w:p w14:paraId="05B22504" w14:textId="77777777" w:rsidR="004944F0" w:rsidRDefault="004944F0" w:rsidP="004C5CF1">
            <w:pPr>
              <w:tabs>
                <w:tab w:val="left" w:pos="1336"/>
              </w:tabs>
            </w:pPr>
          </w:p>
        </w:tc>
      </w:tr>
      <w:tr w:rsidR="004944F0" w14:paraId="489ADA93" w14:textId="77777777" w:rsidTr="004C5CF1">
        <w:tc>
          <w:tcPr>
            <w:tcW w:w="10975" w:type="dxa"/>
            <w:gridSpan w:val="2"/>
            <w:shd w:val="clear" w:color="auto" w:fill="C1E4F5" w:themeFill="accent1" w:themeFillTint="33"/>
          </w:tcPr>
          <w:p w14:paraId="0288791C" w14:textId="77777777" w:rsidR="004944F0" w:rsidRPr="004944F0" w:rsidRDefault="004944F0" w:rsidP="004C5CF1">
            <w:pPr>
              <w:tabs>
                <w:tab w:val="left" w:pos="1336"/>
              </w:tabs>
              <w:rPr>
                <w:rFonts w:ascii="Arial" w:hAnsi="Arial" w:cs="Arial"/>
                <w:b/>
                <w:bCs/>
                <w:sz w:val="16"/>
                <w:szCs w:val="16"/>
                <w:lang w:val="en-CA"/>
              </w:rPr>
            </w:pPr>
            <w:r w:rsidRPr="004944F0">
              <w:rPr>
                <w:rFonts w:ascii="Arial" w:hAnsi="Arial" w:cs="Arial"/>
                <w:b/>
                <w:bCs/>
                <w:sz w:val="16"/>
                <w:szCs w:val="16"/>
                <w:lang w:val="en-CA"/>
              </w:rPr>
              <w:t>Have the following practices been incorporated for the following activities to mitigate unique impacts to the Values?</w:t>
            </w:r>
            <w:r w:rsidRPr="004944F0">
              <w:rPr>
                <w:rStyle w:val="normaltextrun"/>
                <w:b/>
                <w:bCs/>
                <w:sz w:val="16"/>
                <w:szCs w:val="16"/>
              </w:rPr>
              <w:t xml:space="preserve"> </w:t>
            </w:r>
          </w:p>
        </w:tc>
      </w:tr>
      <w:tr w:rsidR="004944F0" w14:paraId="1C6A7453" w14:textId="77777777" w:rsidTr="004C5CF1">
        <w:tc>
          <w:tcPr>
            <w:tcW w:w="10975" w:type="dxa"/>
            <w:gridSpan w:val="2"/>
            <w:shd w:val="clear" w:color="auto" w:fill="D1D1D1" w:themeFill="background2" w:themeFillShade="E6"/>
          </w:tcPr>
          <w:p w14:paraId="77C0041B" w14:textId="77777777" w:rsidR="004944F0" w:rsidRPr="004944F0" w:rsidRDefault="004944F0" w:rsidP="004C5CF1">
            <w:pPr>
              <w:tabs>
                <w:tab w:val="left" w:pos="1336"/>
              </w:tabs>
              <w:rPr>
                <w:sz w:val="16"/>
                <w:szCs w:val="16"/>
              </w:rPr>
            </w:pPr>
            <w:r w:rsidRPr="004944F0">
              <w:rPr>
                <w:rFonts w:ascii="Arial" w:hAnsi="Arial" w:cs="Arial"/>
                <w:b/>
                <w:bCs/>
                <w:sz w:val="16"/>
                <w:szCs w:val="16"/>
                <w:lang w:val="en-CA"/>
              </w:rPr>
              <w:t>Pipelines:</w:t>
            </w:r>
          </w:p>
        </w:tc>
      </w:tr>
      <w:tr w:rsidR="004944F0" w14:paraId="2A829DEB" w14:textId="77777777" w:rsidTr="007F213E">
        <w:tc>
          <w:tcPr>
            <w:tcW w:w="9805" w:type="dxa"/>
          </w:tcPr>
          <w:p w14:paraId="3AFD5903"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 xml:space="preserve">Incorporate the best available line-of-sight mitigations along linear developments at least every 200 m (or more frequently if the case specific circumstances warrant) and where linear disturbances intersect roads, seismic lines, and electrical transmission lines. </w:t>
            </w:r>
          </w:p>
        </w:tc>
        <w:tc>
          <w:tcPr>
            <w:tcW w:w="1170" w:type="dxa"/>
          </w:tcPr>
          <w:p w14:paraId="244C9F29" w14:textId="77777777" w:rsidR="004944F0" w:rsidRDefault="004944F0" w:rsidP="004C5CF1">
            <w:pPr>
              <w:tabs>
                <w:tab w:val="left" w:pos="1336"/>
              </w:tabs>
            </w:pPr>
          </w:p>
        </w:tc>
      </w:tr>
      <w:tr w:rsidR="004944F0" w14:paraId="278C236D" w14:textId="77777777" w:rsidTr="007F213E">
        <w:tc>
          <w:tcPr>
            <w:tcW w:w="9805" w:type="dxa"/>
          </w:tcPr>
          <w:p w14:paraId="6FF118C9"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 xml:space="preserve">Demonstrate Best Efforts to reduce the width of existing corridors for the full linear length where proposed activities overlap existing rights-of-way. </w:t>
            </w:r>
          </w:p>
        </w:tc>
        <w:tc>
          <w:tcPr>
            <w:tcW w:w="1170" w:type="dxa"/>
          </w:tcPr>
          <w:p w14:paraId="0F50BDC0" w14:textId="77777777" w:rsidR="004944F0" w:rsidRDefault="004944F0" w:rsidP="004C5CF1">
            <w:pPr>
              <w:tabs>
                <w:tab w:val="left" w:pos="1336"/>
              </w:tabs>
            </w:pPr>
          </w:p>
        </w:tc>
      </w:tr>
      <w:tr w:rsidR="004944F0" w14:paraId="393A39FA" w14:textId="77777777" w:rsidTr="007F213E">
        <w:tc>
          <w:tcPr>
            <w:tcW w:w="9805" w:type="dxa"/>
          </w:tcPr>
          <w:p w14:paraId="4637DAAC"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Adopt water and wildlife movement-friendly designs, including, but not limited to avoiding hardscaping (e.g., concrete, asphalt, pavement) when permeable materials suffice (e.g., nature-based solutions), integrate small mammal and amphibian crossing structures into right of way post-construction remediation, integrate beaver deceivers, and ensure ditches and barrows will not entrap wildlife.</w:t>
            </w:r>
          </w:p>
        </w:tc>
        <w:tc>
          <w:tcPr>
            <w:tcW w:w="1170" w:type="dxa"/>
          </w:tcPr>
          <w:p w14:paraId="67CCDCA9" w14:textId="77777777" w:rsidR="004944F0" w:rsidRDefault="004944F0" w:rsidP="004C5CF1">
            <w:pPr>
              <w:tabs>
                <w:tab w:val="left" w:pos="1336"/>
              </w:tabs>
            </w:pPr>
          </w:p>
        </w:tc>
      </w:tr>
      <w:tr w:rsidR="004944F0" w14:paraId="15BF8262" w14:textId="77777777" w:rsidTr="00A903D1">
        <w:trPr>
          <w:trHeight w:val="161"/>
        </w:trPr>
        <w:tc>
          <w:tcPr>
            <w:tcW w:w="9805" w:type="dxa"/>
          </w:tcPr>
          <w:p w14:paraId="09CF0BF5"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Above-ground appurtenances must not be located within an RMZ. Riser sites and pigging facilities must not be located within wetlands.</w:t>
            </w:r>
          </w:p>
        </w:tc>
        <w:tc>
          <w:tcPr>
            <w:tcW w:w="1170" w:type="dxa"/>
          </w:tcPr>
          <w:p w14:paraId="670A6B33" w14:textId="77777777" w:rsidR="004944F0" w:rsidRDefault="004944F0" w:rsidP="004C5CF1">
            <w:pPr>
              <w:tabs>
                <w:tab w:val="left" w:pos="1336"/>
              </w:tabs>
            </w:pPr>
          </w:p>
        </w:tc>
      </w:tr>
      <w:tr w:rsidR="004944F0" w14:paraId="7C0597AA" w14:textId="77777777" w:rsidTr="004C5CF1">
        <w:tc>
          <w:tcPr>
            <w:tcW w:w="10975" w:type="dxa"/>
            <w:gridSpan w:val="2"/>
            <w:shd w:val="clear" w:color="auto" w:fill="D1D1D1" w:themeFill="background2" w:themeFillShade="E6"/>
          </w:tcPr>
          <w:p w14:paraId="6EF9B0EE" w14:textId="77777777" w:rsidR="004944F0" w:rsidRPr="004944F0" w:rsidRDefault="004944F0" w:rsidP="004C5CF1">
            <w:pPr>
              <w:tabs>
                <w:tab w:val="left" w:pos="1336"/>
              </w:tabs>
              <w:rPr>
                <w:sz w:val="16"/>
                <w:szCs w:val="16"/>
              </w:rPr>
            </w:pPr>
            <w:r w:rsidRPr="004944F0">
              <w:rPr>
                <w:rFonts w:ascii="Arial" w:hAnsi="Arial" w:cs="Arial"/>
                <w:b/>
                <w:bCs/>
                <w:sz w:val="16"/>
                <w:szCs w:val="16"/>
                <w:lang w:val="en-CA"/>
              </w:rPr>
              <w:t>Geophysical Activities:</w:t>
            </w:r>
          </w:p>
        </w:tc>
      </w:tr>
      <w:tr w:rsidR="004944F0" w14:paraId="3C55FCA4" w14:textId="77777777" w:rsidTr="007F213E">
        <w:tc>
          <w:tcPr>
            <w:tcW w:w="9805" w:type="dxa"/>
          </w:tcPr>
          <w:p w14:paraId="7D9842AD" w14:textId="77777777" w:rsidR="004944F0" w:rsidRPr="004944F0" w:rsidRDefault="004944F0" w:rsidP="004C5CF1">
            <w:pPr>
              <w:rPr>
                <w:rFonts w:ascii="Arial" w:hAnsi="Arial" w:cs="Arial"/>
                <w:sz w:val="16"/>
                <w:szCs w:val="16"/>
                <w:lang w:val="en-CA"/>
              </w:rPr>
            </w:pPr>
            <w:r w:rsidRPr="004944F0">
              <w:rPr>
                <w:rFonts w:ascii="Arial" w:hAnsi="Arial" w:cs="Arial"/>
                <w:sz w:val="16"/>
                <w:szCs w:val="16"/>
                <w:lang w:val="en-CA"/>
              </w:rPr>
              <w:t>Line of sight and access mitigations, including meandering avoidance, tree bending, boulder placement, dog legs and other mitigations as appropriate, must be implemented at minimum at:</w:t>
            </w:r>
          </w:p>
          <w:p w14:paraId="5542D2AB"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Intersection points of seismic lines and roads.</w:t>
            </w:r>
          </w:p>
          <w:p w14:paraId="7F98D2A4" w14:textId="77777777" w:rsidR="004944F0" w:rsidRPr="004944F0" w:rsidRDefault="004944F0" w:rsidP="004944F0">
            <w:pPr>
              <w:pStyle w:val="ListParagraph"/>
              <w:numPr>
                <w:ilvl w:val="0"/>
                <w:numId w:val="1"/>
              </w:numPr>
              <w:rPr>
                <w:rFonts w:ascii="Arial" w:hAnsi="Arial" w:cs="Arial"/>
                <w:sz w:val="16"/>
                <w:szCs w:val="16"/>
                <w:lang w:val="en-CA"/>
              </w:rPr>
            </w:pPr>
            <w:r w:rsidRPr="004944F0">
              <w:rPr>
                <w:rFonts w:ascii="Arial" w:hAnsi="Arial" w:cs="Arial"/>
                <w:sz w:val="16"/>
                <w:szCs w:val="16"/>
                <w:lang w:val="en-CA"/>
              </w:rPr>
              <w:t>Intersection points of seismic lines and pipelines.</w:t>
            </w:r>
          </w:p>
          <w:p w14:paraId="24D5ECB1" w14:textId="77777777" w:rsidR="004944F0" w:rsidRPr="004944F0" w:rsidRDefault="004944F0" w:rsidP="004944F0">
            <w:pPr>
              <w:pStyle w:val="ListParagraph"/>
              <w:numPr>
                <w:ilvl w:val="0"/>
                <w:numId w:val="1"/>
              </w:numPr>
              <w:rPr>
                <w:rFonts w:ascii="Arial" w:hAnsi="Arial" w:cs="Arial"/>
                <w:sz w:val="16"/>
                <w:szCs w:val="16"/>
              </w:rPr>
            </w:pPr>
            <w:r w:rsidRPr="004944F0">
              <w:rPr>
                <w:rFonts w:ascii="Arial" w:hAnsi="Arial" w:cs="Arial"/>
                <w:sz w:val="16"/>
                <w:szCs w:val="16"/>
                <w:lang w:val="en-CA"/>
              </w:rPr>
              <w:t>Intersection points of seismic lines and electrical transmission lines.</w:t>
            </w:r>
          </w:p>
          <w:p w14:paraId="3DE619BE" w14:textId="77777777" w:rsidR="004944F0" w:rsidRPr="004944F0" w:rsidRDefault="004944F0" w:rsidP="004944F0">
            <w:pPr>
              <w:pStyle w:val="ListParagraph"/>
              <w:numPr>
                <w:ilvl w:val="0"/>
                <w:numId w:val="1"/>
              </w:numPr>
              <w:rPr>
                <w:rFonts w:ascii="Arial" w:hAnsi="Arial" w:cs="Arial"/>
                <w:sz w:val="16"/>
                <w:szCs w:val="16"/>
              </w:rPr>
            </w:pPr>
            <w:r w:rsidRPr="004944F0">
              <w:rPr>
                <w:rFonts w:ascii="Arial" w:hAnsi="Arial" w:cs="Arial"/>
                <w:sz w:val="16"/>
                <w:szCs w:val="16"/>
                <w:lang w:val="en-CA"/>
              </w:rPr>
              <w:t>At regular intervals along the seismic lines.</w:t>
            </w:r>
          </w:p>
        </w:tc>
        <w:tc>
          <w:tcPr>
            <w:tcW w:w="1170" w:type="dxa"/>
          </w:tcPr>
          <w:p w14:paraId="3F7666E4" w14:textId="77777777" w:rsidR="004944F0" w:rsidRDefault="004944F0" w:rsidP="004C5CF1">
            <w:pPr>
              <w:tabs>
                <w:tab w:val="left" w:pos="1336"/>
              </w:tabs>
            </w:pPr>
          </w:p>
        </w:tc>
      </w:tr>
      <w:tr w:rsidR="004944F0" w14:paraId="5FBE1553" w14:textId="77777777" w:rsidTr="007F213E">
        <w:trPr>
          <w:trHeight w:val="170"/>
        </w:trPr>
        <w:tc>
          <w:tcPr>
            <w:tcW w:w="9805" w:type="dxa"/>
          </w:tcPr>
          <w:p w14:paraId="49C9E1D1"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Industry standard best practices for low impact seismic techniques.</w:t>
            </w:r>
          </w:p>
        </w:tc>
        <w:tc>
          <w:tcPr>
            <w:tcW w:w="1170" w:type="dxa"/>
          </w:tcPr>
          <w:p w14:paraId="60E8D847" w14:textId="77777777" w:rsidR="004944F0" w:rsidRDefault="004944F0" w:rsidP="004C5CF1">
            <w:pPr>
              <w:tabs>
                <w:tab w:val="left" w:pos="1336"/>
              </w:tabs>
            </w:pPr>
          </w:p>
        </w:tc>
      </w:tr>
      <w:tr w:rsidR="004944F0" w14:paraId="1C681D89" w14:textId="77777777" w:rsidTr="007F213E">
        <w:tc>
          <w:tcPr>
            <w:tcW w:w="9805" w:type="dxa"/>
          </w:tcPr>
          <w:p w14:paraId="1A4502D2"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Vegetation should be hand trimmed and compressed under equipment to support regeneration after completion of works and mulch should not exceed 4 cm in depth.</w:t>
            </w:r>
          </w:p>
        </w:tc>
        <w:tc>
          <w:tcPr>
            <w:tcW w:w="1170" w:type="dxa"/>
          </w:tcPr>
          <w:p w14:paraId="6489FAD1" w14:textId="77777777" w:rsidR="004944F0" w:rsidRDefault="004944F0" w:rsidP="004C5CF1">
            <w:pPr>
              <w:tabs>
                <w:tab w:val="left" w:pos="1336"/>
              </w:tabs>
            </w:pPr>
          </w:p>
        </w:tc>
      </w:tr>
      <w:tr w:rsidR="004944F0" w14:paraId="71672666" w14:textId="77777777" w:rsidTr="007F213E">
        <w:tc>
          <w:tcPr>
            <w:tcW w:w="9805" w:type="dxa"/>
          </w:tcPr>
          <w:p w14:paraId="6141E30A"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Avoid intersections with access routes wherever possible.</w:t>
            </w:r>
          </w:p>
        </w:tc>
        <w:tc>
          <w:tcPr>
            <w:tcW w:w="1170" w:type="dxa"/>
          </w:tcPr>
          <w:p w14:paraId="37AFE168" w14:textId="77777777" w:rsidR="004944F0" w:rsidRDefault="004944F0" w:rsidP="004C5CF1">
            <w:pPr>
              <w:tabs>
                <w:tab w:val="left" w:pos="1336"/>
              </w:tabs>
            </w:pPr>
          </w:p>
        </w:tc>
      </w:tr>
      <w:tr w:rsidR="004944F0" w14:paraId="515F31BF" w14:textId="77777777" w:rsidTr="007F213E">
        <w:tc>
          <w:tcPr>
            <w:tcW w:w="9805" w:type="dxa"/>
          </w:tcPr>
          <w:p w14:paraId="1D390C2C"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Source lines must avoid the RMA established for all streams, lakes, wetlands where operationally feasible. Where source lines are proposed within RMZ they must be appropriately justified. Source lines within the RMZ must avoid trees to the extent feasible and use a meandering path to avoid creating lines of sight. Source lines must avoid the RRZ.</w:t>
            </w:r>
          </w:p>
        </w:tc>
        <w:tc>
          <w:tcPr>
            <w:tcW w:w="1170" w:type="dxa"/>
          </w:tcPr>
          <w:p w14:paraId="3094A3DD" w14:textId="77777777" w:rsidR="004944F0" w:rsidRDefault="004944F0" w:rsidP="004C5CF1">
            <w:pPr>
              <w:tabs>
                <w:tab w:val="left" w:pos="1336"/>
              </w:tabs>
            </w:pPr>
          </w:p>
        </w:tc>
      </w:tr>
      <w:tr w:rsidR="004944F0" w14:paraId="14A91E53" w14:textId="77777777" w:rsidTr="007F213E">
        <w:tc>
          <w:tcPr>
            <w:tcW w:w="9805" w:type="dxa"/>
          </w:tcPr>
          <w:p w14:paraId="4C044BC5"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 xml:space="preserve">Receiver lines within the RMA must have demonstrated need, be hand cut, avoid trees (&gt;20 cm </w:t>
            </w:r>
            <w:proofErr w:type="spellStart"/>
            <w:r w:rsidRPr="004944F0">
              <w:rPr>
                <w:rFonts w:ascii="Arial" w:hAnsi="Arial" w:cs="Arial"/>
                <w:sz w:val="16"/>
                <w:szCs w:val="16"/>
                <w:lang w:val="en-CA"/>
              </w:rPr>
              <w:t>dbh</w:t>
            </w:r>
            <w:proofErr w:type="spellEnd"/>
            <w:r w:rsidRPr="004944F0">
              <w:rPr>
                <w:rFonts w:ascii="Arial" w:hAnsi="Arial" w:cs="Arial"/>
                <w:sz w:val="16"/>
                <w:szCs w:val="16"/>
                <w:lang w:val="en-CA"/>
              </w:rPr>
              <w:t xml:space="preserve">), and use a meandering path to avoid creating lines of sight. </w:t>
            </w:r>
          </w:p>
        </w:tc>
        <w:tc>
          <w:tcPr>
            <w:tcW w:w="1170" w:type="dxa"/>
          </w:tcPr>
          <w:p w14:paraId="5BDBA72C" w14:textId="77777777" w:rsidR="004944F0" w:rsidRDefault="004944F0" w:rsidP="004C5CF1">
            <w:pPr>
              <w:tabs>
                <w:tab w:val="left" w:pos="1336"/>
              </w:tabs>
            </w:pPr>
          </w:p>
        </w:tc>
      </w:tr>
      <w:tr w:rsidR="004944F0" w14:paraId="1654EC8C" w14:textId="77777777" w:rsidTr="007F213E">
        <w:tc>
          <w:tcPr>
            <w:tcW w:w="9805" w:type="dxa"/>
          </w:tcPr>
          <w:p w14:paraId="36FD19BD" w14:textId="77777777" w:rsidR="004944F0" w:rsidRPr="004944F0" w:rsidRDefault="004944F0" w:rsidP="004C5CF1">
            <w:pPr>
              <w:spacing w:before="60" w:after="60"/>
              <w:rPr>
                <w:rFonts w:ascii="Arial" w:hAnsi="Arial" w:cs="Arial"/>
                <w:sz w:val="16"/>
                <w:szCs w:val="16"/>
                <w:lang w:val="en-CA"/>
              </w:rPr>
            </w:pPr>
            <w:r w:rsidRPr="004944F0">
              <w:rPr>
                <w:rFonts w:ascii="Arial" w:hAnsi="Arial" w:cs="Arial"/>
                <w:sz w:val="16"/>
                <w:szCs w:val="16"/>
                <w:lang w:val="en-CA"/>
              </w:rPr>
              <w:t>In addition to the restoration requirements within 7.5(4) of the Gundy Complex HV1-C Plan the restoration plan for seismic lines must include:</w:t>
            </w:r>
          </w:p>
          <w:p w14:paraId="26D13B5B" w14:textId="77777777" w:rsidR="004944F0" w:rsidRPr="004944F0" w:rsidRDefault="004944F0" w:rsidP="004944F0">
            <w:pPr>
              <w:pStyle w:val="ListParagraph"/>
              <w:numPr>
                <w:ilvl w:val="0"/>
                <w:numId w:val="1"/>
              </w:numPr>
              <w:spacing w:before="60" w:after="60"/>
              <w:rPr>
                <w:rFonts w:ascii="Arial" w:hAnsi="Arial" w:cs="Arial"/>
                <w:sz w:val="16"/>
                <w:szCs w:val="16"/>
              </w:rPr>
            </w:pPr>
            <w:r w:rsidRPr="004944F0">
              <w:rPr>
                <w:rFonts w:ascii="Arial" w:hAnsi="Arial" w:cs="Arial"/>
                <w:sz w:val="16"/>
                <w:szCs w:val="16"/>
                <w:lang w:val="en-CA"/>
              </w:rPr>
              <w:t>Recovery of exposed soils within one growing season.</w:t>
            </w:r>
          </w:p>
          <w:p w14:paraId="43DEE7C7" w14:textId="77777777" w:rsidR="004944F0" w:rsidRPr="004944F0" w:rsidRDefault="004944F0" w:rsidP="004944F0">
            <w:pPr>
              <w:pStyle w:val="ListParagraph"/>
              <w:numPr>
                <w:ilvl w:val="0"/>
                <w:numId w:val="1"/>
              </w:numPr>
              <w:spacing w:before="60" w:after="60"/>
              <w:rPr>
                <w:rFonts w:ascii="Arial" w:hAnsi="Arial" w:cs="Arial"/>
                <w:sz w:val="16"/>
                <w:szCs w:val="16"/>
              </w:rPr>
            </w:pPr>
            <w:r w:rsidRPr="004944F0">
              <w:rPr>
                <w:rFonts w:ascii="Arial" w:hAnsi="Arial" w:cs="Arial"/>
                <w:sz w:val="16"/>
                <w:szCs w:val="16"/>
                <w:lang w:val="en-CA"/>
              </w:rPr>
              <w:t>Vegetation re-growth to the lesser of the height of the surrounding vegetation (e.g., in shrub habitat) or moose height (2 m) within five years. If this is not achievable given the vegetation present pre-disturbance, the QEP/QP will provide an alternative performance indicator suitable for the location.</w:t>
            </w:r>
          </w:p>
          <w:p w14:paraId="596E8F57" w14:textId="77777777" w:rsidR="004944F0" w:rsidRPr="004944F0" w:rsidRDefault="004944F0" w:rsidP="004944F0">
            <w:pPr>
              <w:pStyle w:val="ListParagraph"/>
              <w:numPr>
                <w:ilvl w:val="0"/>
                <w:numId w:val="1"/>
              </w:numPr>
              <w:spacing w:before="60" w:after="60"/>
              <w:rPr>
                <w:rFonts w:ascii="Arial" w:hAnsi="Arial" w:cs="Arial"/>
                <w:sz w:val="16"/>
                <w:szCs w:val="16"/>
              </w:rPr>
            </w:pPr>
            <w:r w:rsidRPr="004944F0">
              <w:rPr>
                <w:rFonts w:ascii="Arial" w:hAnsi="Arial" w:cs="Arial"/>
                <w:sz w:val="16"/>
                <w:szCs w:val="16"/>
              </w:rPr>
              <w:t xml:space="preserve">Commitment to implement within one </w:t>
            </w:r>
            <w:r w:rsidRPr="004944F0">
              <w:rPr>
                <w:rFonts w:ascii="Arial" w:hAnsi="Arial" w:cs="Arial"/>
                <w:sz w:val="16"/>
                <w:szCs w:val="16"/>
                <w:lang w:val="en-CA"/>
              </w:rPr>
              <w:t>growing season of seismic activities.</w:t>
            </w:r>
          </w:p>
          <w:p w14:paraId="017DD27A" w14:textId="77777777" w:rsidR="004944F0" w:rsidRPr="004944F0" w:rsidRDefault="004944F0" w:rsidP="004944F0">
            <w:pPr>
              <w:pStyle w:val="ListParagraph"/>
              <w:numPr>
                <w:ilvl w:val="0"/>
                <w:numId w:val="1"/>
              </w:numPr>
              <w:spacing w:before="60" w:after="60"/>
              <w:rPr>
                <w:rFonts w:ascii="Arial" w:hAnsi="Arial" w:cs="Arial"/>
                <w:sz w:val="16"/>
                <w:szCs w:val="16"/>
              </w:rPr>
            </w:pPr>
            <w:r w:rsidRPr="004944F0">
              <w:rPr>
                <w:rFonts w:ascii="Arial" w:hAnsi="Arial" w:cs="Arial"/>
                <w:sz w:val="16"/>
                <w:szCs w:val="16"/>
                <w:lang w:val="en-CA"/>
              </w:rPr>
              <w:t>Success monitoring and maintenance plan to monitor the effectiveness over five growing seasons.</w:t>
            </w:r>
          </w:p>
          <w:p w14:paraId="53004BF0" w14:textId="77777777" w:rsidR="004944F0" w:rsidRPr="004944F0" w:rsidRDefault="004944F0" w:rsidP="004944F0">
            <w:pPr>
              <w:pStyle w:val="ListParagraph"/>
              <w:numPr>
                <w:ilvl w:val="0"/>
                <w:numId w:val="1"/>
              </w:numPr>
              <w:spacing w:before="60" w:after="60"/>
              <w:rPr>
                <w:rFonts w:ascii="Arial" w:hAnsi="Arial" w:cs="Arial"/>
                <w:sz w:val="16"/>
                <w:szCs w:val="16"/>
              </w:rPr>
            </w:pPr>
            <w:r w:rsidRPr="004944F0">
              <w:rPr>
                <w:rFonts w:ascii="Arial" w:hAnsi="Arial" w:cs="Arial"/>
                <w:sz w:val="16"/>
                <w:szCs w:val="16"/>
                <w:lang w:val="en-CA"/>
              </w:rPr>
              <w:t>Where the restoration monitoring effectiveness identifies deficiencies, adaptive management including additional restoration strategies must commence within one growing season of final activities or the identification of need, whichever is sooner.</w:t>
            </w:r>
          </w:p>
        </w:tc>
        <w:tc>
          <w:tcPr>
            <w:tcW w:w="1170" w:type="dxa"/>
          </w:tcPr>
          <w:p w14:paraId="4D6E2A2D" w14:textId="77777777" w:rsidR="004944F0" w:rsidRDefault="004944F0" w:rsidP="004C5CF1">
            <w:pPr>
              <w:tabs>
                <w:tab w:val="left" w:pos="1336"/>
              </w:tabs>
            </w:pPr>
          </w:p>
        </w:tc>
      </w:tr>
      <w:tr w:rsidR="004944F0" w14:paraId="46BCA3C6" w14:textId="77777777" w:rsidTr="004C5CF1">
        <w:tc>
          <w:tcPr>
            <w:tcW w:w="10975" w:type="dxa"/>
            <w:gridSpan w:val="2"/>
            <w:shd w:val="clear" w:color="auto" w:fill="D1D1D1" w:themeFill="background2" w:themeFillShade="E6"/>
          </w:tcPr>
          <w:p w14:paraId="5303756C" w14:textId="77777777" w:rsidR="004944F0" w:rsidRPr="004944F0" w:rsidRDefault="004944F0" w:rsidP="004C5CF1">
            <w:pPr>
              <w:tabs>
                <w:tab w:val="left" w:pos="1336"/>
              </w:tabs>
              <w:rPr>
                <w:sz w:val="16"/>
                <w:szCs w:val="16"/>
              </w:rPr>
            </w:pPr>
            <w:r w:rsidRPr="004944F0">
              <w:rPr>
                <w:rFonts w:ascii="Arial" w:hAnsi="Arial" w:cs="Arial"/>
                <w:b/>
                <w:bCs/>
                <w:sz w:val="16"/>
                <w:szCs w:val="16"/>
                <w:lang w:val="en-CA"/>
              </w:rPr>
              <w:t>Borrow Pits:</w:t>
            </w:r>
          </w:p>
        </w:tc>
      </w:tr>
      <w:tr w:rsidR="004944F0" w14:paraId="20A33B86" w14:textId="77777777" w:rsidTr="007F213E">
        <w:tc>
          <w:tcPr>
            <w:tcW w:w="9805" w:type="dxa"/>
          </w:tcPr>
          <w:p w14:paraId="4DE3C037"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Construction of borrow pits that do not hold water is encouraged. Where pits do contain water, restoration activities with a priority of naturalizing the borrow pit must begin within one growing season of the last use of the pit for fill material.</w:t>
            </w:r>
          </w:p>
        </w:tc>
        <w:tc>
          <w:tcPr>
            <w:tcW w:w="1170" w:type="dxa"/>
          </w:tcPr>
          <w:p w14:paraId="3551DD4A" w14:textId="77777777" w:rsidR="004944F0" w:rsidRDefault="004944F0" w:rsidP="004C5CF1">
            <w:pPr>
              <w:tabs>
                <w:tab w:val="left" w:pos="1336"/>
              </w:tabs>
            </w:pPr>
          </w:p>
        </w:tc>
      </w:tr>
      <w:tr w:rsidR="004944F0" w14:paraId="0D186915" w14:textId="77777777" w:rsidTr="007F213E">
        <w:tc>
          <w:tcPr>
            <w:tcW w:w="9805" w:type="dxa"/>
          </w:tcPr>
          <w:p w14:paraId="312F3CC7"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Borrow pits must not be located such that there is hydrological connectivity with streams, lakes or wetlands and must be constructed to ensure no compromise to or interference with slope stability or drainage patterns.</w:t>
            </w:r>
          </w:p>
        </w:tc>
        <w:tc>
          <w:tcPr>
            <w:tcW w:w="1170" w:type="dxa"/>
          </w:tcPr>
          <w:p w14:paraId="7C3B6180" w14:textId="77777777" w:rsidR="004944F0" w:rsidRDefault="004944F0" w:rsidP="004C5CF1">
            <w:pPr>
              <w:tabs>
                <w:tab w:val="left" w:pos="1336"/>
              </w:tabs>
            </w:pPr>
          </w:p>
        </w:tc>
      </w:tr>
      <w:tr w:rsidR="004944F0" w14:paraId="6DB8FF2B" w14:textId="77777777" w:rsidTr="007F213E">
        <w:tc>
          <w:tcPr>
            <w:tcW w:w="9805" w:type="dxa"/>
          </w:tcPr>
          <w:p w14:paraId="7C840E96" w14:textId="77777777" w:rsidR="004944F0" w:rsidRPr="004944F0" w:rsidRDefault="004944F0" w:rsidP="004C5CF1">
            <w:pPr>
              <w:tabs>
                <w:tab w:val="left" w:pos="1336"/>
              </w:tabs>
              <w:rPr>
                <w:rFonts w:ascii="Arial" w:hAnsi="Arial" w:cs="Arial"/>
                <w:sz w:val="16"/>
                <w:szCs w:val="16"/>
                <w:lang w:val="en-CA"/>
              </w:rPr>
            </w:pPr>
            <w:r w:rsidRPr="004944F0">
              <w:rPr>
                <w:rFonts w:ascii="Arial" w:hAnsi="Arial" w:cs="Arial"/>
                <w:sz w:val="16"/>
                <w:szCs w:val="16"/>
                <w:lang w:val="en-CA"/>
              </w:rPr>
              <w:t>As soon as practicable following the use of the borrow pit to support operations, steps must be taken to recontour the borrow pit and, where feasible, refill with appropriate soil materials.</w:t>
            </w:r>
          </w:p>
        </w:tc>
        <w:tc>
          <w:tcPr>
            <w:tcW w:w="1170" w:type="dxa"/>
          </w:tcPr>
          <w:p w14:paraId="71308707" w14:textId="77777777" w:rsidR="004944F0" w:rsidRDefault="004944F0" w:rsidP="004C5CF1">
            <w:pPr>
              <w:tabs>
                <w:tab w:val="left" w:pos="1336"/>
              </w:tabs>
            </w:pPr>
          </w:p>
        </w:tc>
      </w:tr>
      <w:tr w:rsidR="004944F0" w14:paraId="4AFC68A5" w14:textId="77777777" w:rsidTr="004C5CF1">
        <w:tc>
          <w:tcPr>
            <w:tcW w:w="10975" w:type="dxa"/>
            <w:gridSpan w:val="2"/>
            <w:shd w:val="clear" w:color="auto" w:fill="83CAEB" w:themeFill="accent1" w:themeFillTint="66"/>
          </w:tcPr>
          <w:p w14:paraId="6D21F68D" w14:textId="77777777" w:rsidR="004944F0" w:rsidRPr="004944F0" w:rsidRDefault="004944F0" w:rsidP="004C5CF1">
            <w:pPr>
              <w:tabs>
                <w:tab w:val="left" w:pos="1336"/>
              </w:tabs>
              <w:rPr>
                <w:rFonts w:ascii="Arial" w:hAnsi="Arial" w:cs="Arial"/>
                <w:b/>
                <w:sz w:val="16"/>
                <w:szCs w:val="16"/>
                <w:lang w:val="en-CA"/>
              </w:rPr>
            </w:pPr>
            <w:r w:rsidRPr="004944F0">
              <w:rPr>
                <w:rFonts w:ascii="Arial" w:hAnsi="Arial" w:cs="Arial"/>
                <w:b/>
                <w:bCs/>
                <w:sz w:val="16"/>
                <w:szCs w:val="16"/>
                <w:lang w:val="en-CA"/>
              </w:rPr>
              <w:t>Have the following practices been incorporated in design and planning Where a new linear development is proposed in high value moose habitat?</w:t>
            </w:r>
          </w:p>
        </w:tc>
      </w:tr>
      <w:tr w:rsidR="004944F0" w14:paraId="37270CFB" w14:textId="77777777" w:rsidTr="007F213E">
        <w:tc>
          <w:tcPr>
            <w:tcW w:w="9805" w:type="dxa"/>
          </w:tcPr>
          <w:p w14:paraId="504771A9" w14:textId="77777777" w:rsidR="004944F0" w:rsidRPr="004944F0" w:rsidRDefault="004944F0" w:rsidP="004C5CF1">
            <w:pPr>
              <w:tabs>
                <w:tab w:val="left" w:pos="1336"/>
              </w:tabs>
              <w:rPr>
                <w:rFonts w:ascii="Arial" w:hAnsi="Arial" w:cs="Arial"/>
                <w:sz w:val="16"/>
                <w:szCs w:val="16"/>
              </w:rPr>
            </w:pPr>
            <w:r w:rsidRPr="004944F0">
              <w:rPr>
                <w:rFonts w:ascii="Arial" w:hAnsi="Arial" w:cs="Arial"/>
                <w:sz w:val="16"/>
                <w:szCs w:val="16"/>
                <w:lang w:val="en-CA"/>
              </w:rPr>
              <w:t>Implement measures to facilitate unimpeded wildlife movement across the linear development at least every 500m.</w:t>
            </w:r>
          </w:p>
        </w:tc>
        <w:tc>
          <w:tcPr>
            <w:tcW w:w="1170" w:type="dxa"/>
          </w:tcPr>
          <w:p w14:paraId="5FE03390" w14:textId="77777777" w:rsidR="004944F0" w:rsidRDefault="004944F0" w:rsidP="004C5CF1">
            <w:pPr>
              <w:tabs>
                <w:tab w:val="left" w:pos="1336"/>
              </w:tabs>
            </w:pPr>
          </w:p>
        </w:tc>
      </w:tr>
      <w:tr w:rsidR="004944F0" w14:paraId="0E26AA74" w14:textId="77777777" w:rsidTr="007F213E">
        <w:tc>
          <w:tcPr>
            <w:tcW w:w="9805" w:type="dxa"/>
          </w:tcPr>
          <w:p w14:paraId="7029C1B6" w14:textId="77777777" w:rsidR="004944F0" w:rsidRPr="004944F0" w:rsidRDefault="004944F0" w:rsidP="004C5CF1">
            <w:pPr>
              <w:pBdr>
                <w:top w:val="nil"/>
                <w:left w:val="nil"/>
                <w:bottom w:val="nil"/>
                <w:right w:val="nil"/>
                <w:between w:val="nil"/>
              </w:pBdr>
              <w:spacing w:before="60" w:after="60"/>
              <w:rPr>
                <w:rFonts w:ascii="Arial" w:hAnsi="Arial" w:cs="Arial"/>
                <w:sz w:val="16"/>
                <w:szCs w:val="16"/>
                <w:lang w:val="en-CA"/>
              </w:rPr>
            </w:pPr>
            <w:r w:rsidRPr="004944F0">
              <w:rPr>
                <w:rFonts w:ascii="Arial" w:hAnsi="Arial" w:cs="Arial"/>
                <w:sz w:val="16"/>
                <w:szCs w:val="16"/>
                <w:lang w:val="en-CA"/>
              </w:rPr>
              <w:t>Improve landscape permeability to moose with respect to pipelines and other ROWs include:</w:t>
            </w:r>
          </w:p>
          <w:p w14:paraId="0CF95CBB" w14:textId="77777777" w:rsidR="004944F0" w:rsidRPr="004944F0" w:rsidRDefault="004944F0" w:rsidP="004944F0">
            <w:pPr>
              <w:pStyle w:val="ListParagraph"/>
              <w:numPr>
                <w:ilvl w:val="0"/>
                <w:numId w:val="1"/>
              </w:numPr>
              <w:pBdr>
                <w:top w:val="nil"/>
                <w:left w:val="nil"/>
                <w:bottom w:val="nil"/>
                <w:right w:val="nil"/>
                <w:between w:val="nil"/>
              </w:pBdr>
              <w:spacing w:before="60" w:after="60"/>
              <w:rPr>
                <w:rFonts w:ascii="Arial" w:hAnsi="Arial" w:cs="Arial"/>
                <w:sz w:val="16"/>
                <w:szCs w:val="16"/>
                <w:lang w:val="en-CA"/>
              </w:rPr>
            </w:pPr>
            <w:r w:rsidRPr="004944F0">
              <w:rPr>
                <w:rFonts w:ascii="Arial" w:hAnsi="Arial" w:cs="Arial"/>
                <w:sz w:val="16"/>
                <w:szCs w:val="16"/>
                <w:lang w:val="en-CA"/>
              </w:rPr>
              <w:t>Burying infrastructure and revegetating with a native plant assemblage that provides visual shelter.</w:t>
            </w:r>
          </w:p>
          <w:p w14:paraId="55671DEA" w14:textId="77777777" w:rsidR="004944F0" w:rsidRPr="004944F0" w:rsidRDefault="004944F0" w:rsidP="004944F0">
            <w:pPr>
              <w:pStyle w:val="ListParagraph"/>
              <w:numPr>
                <w:ilvl w:val="0"/>
                <w:numId w:val="1"/>
              </w:numPr>
              <w:pBdr>
                <w:top w:val="nil"/>
                <w:left w:val="nil"/>
                <w:bottom w:val="nil"/>
                <w:right w:val="nil"/>
                <w:between w:val="nil"/>
              </w:pBdr>
              <w:spacing w:before="60" w:after="60"/>
              <w:rPr>
                <w:rFonts w:ascii="Arial" w:hAnsi="Arial" w:cs="Arial"/>
                <w:sz w:val="16"/>
                <w:szCs w:val="16"/>
              </w:rPr>
            </w:pPr>
            <w:r w:rsidRPr="004944F0">
              <w:rPr>
                <w:rFonts w:ascii="Arial" w:hAnsi="Arial" w:cs="Arial"/>
                <w:sz w:val="16"/>
                <w:szCs w:val="16"/>
                <w:lang w:val="en-CA"/>
              </w:rPr>
              <w:t>Installing a wildlife overpass structure where above-ground pipelines or other infrastructure may impede moose passage across the right of way for more than 250 metres.</w:t>
            </w:r>
          </w:p>
          <w:p w14:paraId="6FF38BBF" w14:textId="5034BF14" w:rsidR="007B25BE" w:rsidRPr="007B25BE" w:rsidRDefault="004944F0" w:rsidP="007B25BE">
            <w:pPr>
              <w:pStyle w:val="ListParagraph"/>
              <w:numPr>
                <w:ilvl w:val="0"/>
                <w:numId w:val="1"/>
              </w:numPr>
              <w:pBdr>
                <w:top w:val="nil"/>
                <w:left w:val="nil"/>
                <w:bottom w:val="nil"/>
                <w:right w:val="nil"/>
                <w:between w:val="nil"/>
              </w:pBdr>
              <w:spacing w:before="60" w:after="60"/>
              <w:rPr>
                <w:rFonts w:ascii="Arial" w:hAnsi="Arial" w:cs="Arial"/>
                <w:sz w:val="16"/>
                <w:szCs w:val="16"/>
              </w:rPr>
            </w:pPr>
            <w:r w:rsidRPr="004944F0">
              <w:rPr>
                <w:rFonts w:ascii="Arial" w:hAnsi="Arial" w:cs="Arial"/>
                <w:sz w:val="16"/>
                <w:szCs w:val="16"/>
                <w:lang w:val="en-CA"/>
              </w:rPr>
              <w:t>Elevate above-ground pipelines at least 180 cm from the ground to allow for moose passage underneath</w:t>
            </w:r>
            <w:r w:rsidRPr="004944F0" w:rsidDel="00C40583">
              <w:rPr>
                <w:rFonts w:ascii="Arial" w:hAnsi="Arial" w:cs="Arial"/>
                <w:sz w:val="16"/>
                <w:szCs w:val="16"/>
                <w:lang w:val="en-CA"/>
              </w:rPr>
              <w:t>.</w:t>
            </w:r>
          </w:p>
        </w:tc>
        <w:tc>
          <w:tcPr>
            <w:tcW w:w="1170" w:type="dxa"/>
          </w:tcPr>
          <w:p w14:paraId="6D45143F" w14:textId="77777777" w:rsidR="004944F0" w:rsidRDefault="004944F0" w:rsidP="004C5CF1">
            <w:pPr>
              <w:tabs>
                <w:tab w:val="left" w:pos="1336"/>
              </w:tabs>
            </w:pPr>
          </w:p>
        </w:tc>
      </w:tr>
      <w:tr w:rsidR="004944F0" w14:paraId="70FBAF69" w14:textId="77777777" w:rsidTr="007F213E">
        <w:tc>
          <w:tcPr>
            <w:tcW w:w="9805" w:type="dxa"/>
          </w:tcPr>
          <w:p w14:paraId="7C65D777" w14:textId="77777777" w:rsidR="004944F0" w:rsidRPr="004944F0" w:rsidRDefault="004944F0" w:rsidP="004C5CF1">
            <w:pPr>
              <w:pBdr>
                <w:top w:val="nil"/>
                <w:left w:val="nil"/>
                <w:bottom w:val="nil"/>
                <w:right w:val="nil"/>
                <w:between w:val="nil"/>
              </w:pBdr>
              <w:spacing w:before="60" w:after="60"/>
              <w:rPr>
                <w:rFonts w:ascii="Arial" w:hAnsi="Arial" w:cs="Arial"/>
                <w:sz w:val="16"/>
                <w:szCs w:val="16"/>
                <w:lang w:val="en-CA"/>
              </w:rPr>
            </w:pPr>
            <w:r w:rsidRPr="004944F0">
              <w:rPr>
                <w:rFonts w:ascii="Arial" w:hAnsi="Arial" w:cs="Arial"/>
                <w:sz w:val="16"/>
                <w:szCs w:val="16"/>
                <w:lang w:val="en-CA"/>
              </w:rPr>
              <w:t xml:space="preserve">Measures to reduce the potential for moose-vehicle collisions on roads must also be implemented. These include: </w:t>
            </w:r>
          </w:p>
          <w:p w14:paraId="6A07DA54" w14:textId="77777777" w:rsidR="004944F0" w:rsidRPr="004944F0" w:rsidRDefault="004944F0" w:rsidP="004944F0">
            <w:pPr>
              <w:pStyle w:val="ListParagraph"/>
              <w:numPr>
                <w:ilvl w:val="0"/>
                <w:numId w:val="2"/>
              </w:numPr>
              <w:spacing w:before="60" w:after="60"/>
              <w:rPr>
                <w:rFonts w:ascii="Arial" w:hAnsi="Arial" w:cs="Arial"/>
                <w:sz w:val="16"/>
                <w:szCs w:val="16"/>
                <w:lang w:val="en-CA"/>
              </w:rPr>
            </w:pPr>
            <w:r w:rsidRPr="004944F0">
              <w:rPr>
                <w:rFonts w:ascii="Arial" w:hAnsi="Arial" w:cs="Arial"/>
                <w:sz w:val="16"/>
                <w:szCs w:val="16"/>
                <w:lang w:val="en-CA"/>
              </w:rPr>
              <w:t xml:space="preserve">Monitoring to produce hot spot mapping for moose crossings and enhancing safe passage conditions at these locations. </w:t>
            </w:r>
          </w:p>
          <w:p w14:paraId="4A4FAA26" w14:textId="77777777" w:rsidR="004944F0" w:rsidRPr="004944F0" w:rsidRDefault="004944F0" w:rsidP="004944F0">
            <w:pPr>
              <w:pStyle w:val="ListParagraph"/>
              <w:numPr>
                <w:ilvl w:val="0"/>
                <w:numId w:val="2"/>
              </w:numPr>
              <w:spacing w:before="60" w:after="60"/>
              <w:rPr>
                <w:rFonts w:ascii="Arial" w:hAnsi="Arial" w:cs="Arial"/>
                <w:sz w:val="16"/>
                <w:szCs w:val="16"/>
                <w:lang w:val="en-CA"/>
              </w:rPr>
            </w:pPr>
            <w:r w:rsidRPr="004944F0">
              <w:rPr>
                <w:rFonts w:ascii="Arial" w:hAnsi="Arial" w:cs="Arial"/>
                <w:sz w:val="16"/>
                <w:szCs w:val="16"/>
                <w:lang w:val="en-CA"/>
              </w:rPr>
              <w:t>Establishing forage on roadsides with less palatable species and altering dates and times of ditch cutting.</w:t>
            </w:r>
          </w:p>
          <w:p w14:paraId="6D3F4147" w14:textId="77777777" w:rsidR="004944F0" w:rsidRPr="004944F0" w:rsidRDefault="004944F0" w:rsidP="004944F0">
            <w:pPr>
              <w:pStyle w:val="ListParagraph"/>
              <w:numPr>
                <w:ilvl w:val="0"/>
                <w:numId w:val="2"/>
              </w:numPr>
              <w:spacing w:before="60" w:after="60"/>
              <w:rPr>
                <w:rFonts w:ascii="Arial" w:hAnsi="Arial" w:cs="Arial"/>
                <w:sz w:val="16"/>
                <w:szCs w:val="16"/>
                <w:lang w:val="en-CA"/>
              </w:rPr>
            </w:pPr>
            <w:r w:rsidRPr="004944F0">
              <w:rPr>
                <w:rFonts w:ascii="Arial" w:hAnsi="Arial" w:cs="Arial"/>
                <w:sz w:val="16"/>
                <w:szCs w:val="16"/>
                <w:lang w:val="en-CA"/>
              </w:rPr>
              <w:t>Reducing any roadside mineral licks that attract moose to roadsides – moving them or creating mineral licks off road.</w:t>
            </w:r>
          </w:p>
          <w:p w14:paraId="2EB839F4" w14:textId="77777777" w:rsidR="004944F0" w:rsidRPr="004944F0" w:rsidRDefault="004944F0" w:rsidP="004944F0">
            <w:pPr>
              <w:pStyle w:val="ListParagraph"/>
              <w:numPr>
                <w:ilvl w:val="0"/>
                <w:numId w:val="2"/>
              </w:numPr>
              <w:spacing w:before="60" w:after="60"/>
              <w:rPr>
                <w:rFonts w:ascii="Arial" w:hAnsi="Arial" w:cs="Arial"/>
                <w:sz w:val="16"/>
                <w:szCs w:val="16"/>
              </w:rPr>
            </w:pPr>
            <w:r w:rsidRPr="004944F0">
              <w:rPr>
                <w:rFonts w:ascii="Arial" w:hAnsi="Arial" w:cs="Arial"/>
                <w:sz w:val="16"/>
                <w:szCs w:val="16"/>
                <w:lang w:val="en-CA"/>
              </w:rPr>
              <w:t>Motion detection wildlife crossing signs.</w:t>
            </w:r>
          </w:p>
          <w:p w14:paraId="6C94148A" w14:textId="77777777" w:rsidR="004944F0" w:rsidRPr="004944F0" w:rsidRDefault="004944F0" w:rsidP="004944F0">
            <w:pPr>
              <w:pStyle w:val="ListParagraph"/>
              <w:numPr>
                <w:ilvl w:val="0"/>
                <w:numId w:val="2"/>
              </w:numPr>
              <w:spacing w:before="60" w:after="60"/>
              <w:rPr>
                <w:rFonts w:ascii="Arial" w:hAnsi="Arial" w:cs="Arial"/>
                <w:sz w:val="16"/>
                <w:szCs w:val="16"/>
              </w:rPr>
            </w:pPr>
            <w:r w:rsidRPr="004944F0">
              <w:rPr>
                <w:rFonts w:ascii="Arial" w:hAnsi="Arial" w:cs="Arial"/>
                <w:sz w:val="16"/>
                <w:szCs w:val="16"/>
                <w:lang w:val="en-CA"/>
              </w:rPr>
              <w:t xml:space="preserve">Reduced speed limits. </w:t>
            </w:r>
          </w:p>
        </w:tc>
        <w:tc>
          <w:tcPr>
            <w:tcW w:w="1170" w:type="dxa"/>
          </w:tcPr>
          <w:p w14:paraId="07E4D63E" w14:textId="77777777" w:rsidR="004944F0" w:rsidRDefault="004944F0" w:rsidP="004C5CF1">
            <w:pPr>
              <w:tabs>
                <w:tab w:val="left" w:pos="1336"/>
              </w:tabs>
            </w:pPr>
          </w:p>
        </w:tc>
      </w:tr>
    </w:tbl>
    <w:p w14:paraId="714AAAEF" w14:textId="77777777" w:rsidR="007F213E" w:rsidRDefault="007F213E">
      <w:pPr>
        <w:spacing w:after="160" w:line="259" w:lineRule="auto"/>
        <w:rPr>
          <w:rFonts w:ascii="Arial" w:hAnsi="Arial" w:cs="Arial"/>
          <w:sz w:val="18"/>
          <w:szCs w:val="18"/>
        </w:rPr>
      </w:pPr>
      <w:r>
        <w:rPr>
          <w:rFonts w:ascii="Arial" w:hAnsi="Arial" w:cs="Arial"/>
          <w:sz w:val="18"/>
          <w:szCs w:val="18"/>
        </w:rPr>
        <w:br w:type="page"/>
      </w:r>
    </w:p>
    <w:p w14:paraId="02853367" w14:textId="77777777" w:rsidR="004944F0" w:rsidRDefault="004944F0" w:rsidP="004944F0">
      <w:pPr>
        <w:pBdr>
          <w:top w:val="nil"/>
          <w:left w:val="nil"/>
          <w:bottom w:val="nil"/>
          <w:right w:val="nil"/>
          <w:between w:val="nil"/>
        </w:pBdr>
        <w:spacing w:before="120" w:after="120"/>
        <w:rPr>
          <w:rFonts w:ascii="Arial" w:hAnsi="Arial" w:cs="Arial"/>
          <w:sz w:val="18"/>
          <w:szCs w:val="18"/>
        </w:rPr>
      </w:pPr>
      <w:r w:rsidRPr="00133711">
        <w:rPr>
          <w:rFonts w:ascii="Arial" w:hAnsi="Arial" w:cs="Arial"/>
          <w:sz w:val="18"/>
          <w:szCs w:val="18"/>
        </w:rPr>
        <w:lastRenderedPageBreak/>
        <w:t>Where conditions for development have not been met, include a rationale:</w:t>
      </w:r>
    </w:p>
    <w:p w14:paraId="4B11AB64" w14:textId="77777777" w:rsidR="004944F0" w:rsidRDefault="004944F0" w:rsidP="004944F0">
      <w:pPr>
        <w:pBdr>
          <w:top w:val="nil"/>
          <w:left w:val="nil"/>
          <w:bottom w:val="nil"/>
          <w:right w:val="nil"/>
          <w:between w:val="nil"/>
        </w:pBdr>
        <w:spacing w:before="60" w:after="60"/>
        <w:rPr>
          <w:rFonts w:ascii="Arial" w:hAnsi="Arial" w:cs="Arial"/>
          <w:sz w:val="18"/>
          <w:szCs w:val="18"/>
        </w:rPr>
      </w:pPr>
    </w:p>
    <w:p w14:paraId="7FE90547" w14:textId="77777777" w:rsidR="004944F0" w:rsidRDefault="004944F0" w:rsidP="004944F0">
      <w:pPr>
        <w:pBdr>
          <w:top w:val="nil"/>
          <w:left w:val="nil"/>
          <w:bottom w:val="nil"/>
          <w:right w:val="nil"/>
          <w:between w:val="nil"/>
        </w:pBdr>
        <w:spacing w:before="60" w:after="60"/>
        <w:rPr>
          <w:rFonts w:ascii="Arial" w:hAnsi="Arial" w:cs="Arial"/>
          <w:sz w:val="18"/>
          <w:szCs w:val="18"/>
        </w:rPr>
      </w:pPr>
    </w:p>
    <w:p w14:paraId="297C5F7E" w14:textId="77777777" w:rsidR="004944F0" w:rsidRDefault="004944F0" w:rsidP="004944F0">
      <w:pPr>
        <w:pBdr>
          <w:top w:val="nil"/>
          <w:left w:val="nil"/>
          <w:bottom w:val="nil"/>
          <w:right w:val="nil"/>
          <w:between w:val="nil"/>
        </w:pBdr>
        <w:spacing w:before="60" w:after="60"/>
        <w:rPr>
          <w:rFonts w:ascii="Arial" w:hAnsi="Arial" w:cs="Arial"/>
          <w:sz w:val="18"/>
          <w:szCs w:val="18"/>
        </w:rPr>
      </w:pPr>
    </w:p>
    <w:p w14:paraId="2368316D" w14:textId="77777777" w:rsidR="004944F0" w:rsidRDefault="004944F0" w:rsidP="004944F0">
      <w:pPr>
        <w:pBdr>
          <w:top w:val="nil"/>
          <w:left w:val="nil"/>
          <w:bottom w:val="nil"/>
          <w:right w:val="nil"/>
          <w:between w:val="nil"/>
        </w:pBdr>
        <w:spacing w:before="60" w:after="60"/>
        <w:rPr>
          <w:rFonts w:ascii="Arial" w:hAnsi="Arial" w:cs="Arial"/>
          <w:sz w:val="18"/>
          <w:szCs w:val="18"/>
        </w:rPr>
      </w:pPr>
    </w:p>
    <w:p w14:paraId="6F3CF577" w14:textId="77777777" w:rsidR="004944F0" w:rsidRDefault="004944F0" w:rsidP="004944F0">
      <w:pPr>
        <w:pBdr>
          <w:top w:val="nil"/>
          <w:left w:val="nil"/>
          <w:bottom w:val="nil"/>
          <w:right w:val="nil"/>
          <w:between w:val="nil"/>
        </w:pBdr>
        <w:spacing w:before="60" w:after="60"/>
        <w:rPr>
          <w:rFonts w:ascii="Arial" w:hAnsi="Arial" w:cs="Arial"/>
          <w:sz w:val="18"/>
          <w:szCs w:val="18"/>
        </w:rPr>
      </w:pPr>
    </w:p>
    <w:p w14:paraId="1B95337C" w14:textId="16D2A624" w:rsidR="00792DB3" w:rsidRDefault="00792DB3" w:rsidP="004944F0">
      <w:pPr>
        <w:pBdr>
          <w:top w:val="nil"/>
          <w:left w:val="nil"/>
          <w:bottom w:val="nil"/>
          <w:right w:val="nil"/>
          <w:between w:val="nil"/>
        </w:pBdr>
        <w:spacing w:before="60" w:after="60"/>
        <w:rPr>
          <w:rFonts w:ascii="Arial" w:hAnsi="Arial" w:cs="Arial"/>
          <w:sz w:val="18"/>
          <w:szCs w:val="18"/>
        </w:rPr>
      </w:pPr>
    </w:p>
    <w:p w14:paraId="1EA81515" w14:textId="77777777" w:rsidR="004944F0" w:rsidRPr="004944F0" w:rsidRDefault="004944F0" w:rsidP="004944F0">
      <w:pPr>
        <w:pBdr>
          <w:top w:val="nil"/>
          <w:left w:val="nil"/>
          <w:bottom w:val="nil"/>
          <w:right w:val="nil"/>
          <w:between w:val="nil"/>
        </w:pBdr>
        <w:spacing w:before="60" w:after="60"/>
        <w:rPr>
          <w:rFonts w:ascii="Arial" w:hAnsi="Arial" w:cs="Arial"/>
          <w:sz w:val="18"/>
          <w:szCs w:val="18"/>
        </w:rPr>
      </w:pPr>
    </w:p>
    <w:sectPr w:rsidR="004944F0" w:rsidRPr="004944F0" w:rsidSect="004944F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9696" w14:textId="77777777" w:rsidR="00C57229" w:rsidRDefault="00C57229" w:rsidP="004944F0">
      <w:r>
        <w:separator/>
      </w:r>
    </w:p>
  </w:endnote>
  <w:endnote w:type="continuationSeparator" w:id="0">
    <w:p w14:paraId="776EC2B6" w14:textId="77777777" w:rsidR="00C57229" w:rsidRDefault="00C57229" w:rsidP="004944F0">
      <w:r>
        <w:continuationSeparator/>
      </w:r>
    </w:p>
  </w:endnote>
  <w:endnote w:type="continuationNotice" w:id="1">
    <w:p w14:paraId="3A0FF567" w14:textId="77777777" w:rsidR="00C57229" w:rsidRDefault="00C57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1EC6" w14:textId="77777777" w:rsidR="00B21F5B" w:rsidRDefault="00B2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89DD" w14:textId="77777777" w:rsidR="004944F0" w:rsidRPr="009E2A48" w:rsidRDefault="004944F0" w:rsidP="004944F0">
    <w:pP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p w14:paraId="1895E87B" w14:textId="77777777" w:rsidR="004944F0" w:rsidRDefault="00494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0360" w14:textId="77777777" w:rsidR="00B21F5B" w:rsidRDefault="00B2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9CC20" w14:textId="77777777" w:rsidR="00C57229" w:rsidRDefault="00C57229" w:rsidP="004944F0">
      <w:r>
        <w:separator/>
      </w:r>
    </w:p>
  </w:footnote>
  <w:footnote w:type="continuationSeparator" w:id="0">
    <w:p w14:paraId="069F2B98" w14:textId="77777777" w:rsidR="00C57229" w:rsidRDefault="00C57229" w:rsidP="004944F0">
      <w:r>
        <w:continuationSeparator/>
      </w:r>
    </w:p>
  </w:footnote>
  <w:footnote w:type="continuationNotice" w:id="1">
    <w:p w14:paraId="04ADE10C" w14:textId="77777777" w:rsidR="00C57229" w:rsidRDefault="00C57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A1F3" w14:textId="77777777" w:rsidR="00B21F5B" w:rsidRDefault="00B2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9043" w14:textId="31161EAD" w:rsidR="007B25BE" w:rsidRPr="007110E5" w:rsidRDefault="007110E5" w:rsidP="007B25BE">
    <w:pPr>
      <w:pStyle w:val="Title"/>
      <w:rPr>
        <w:rFonts w:ascii="Arial" w:hAnsi="Arial" w:cs="Arial"/>
        <w:sz w:val="40"/>
        <w:szCs w:val="40"/>
      </w:rPr>
    </w:pPr>
    <w:r w:rsidRPr="007110E5">
      <w:rPr>
        <w:rFonts w:ascii="Arial" w:hAnsi="Arial" w:cs="Arial"/>
        <w:sz w:val="40"/>
        <w:szCs w:val="40"/>
      </w:rPr>
      <w:t xml:space="preserve">HV1-C </w:t>
    </w:r>
    <w:r w:rsidR="007B25BE" w:rsidRPr="007110E5">
      <w:rPr>
        <w:rFonts w:ascii="Arial" w:hAnsi="Arial" w:cs="Arial"/>
        <w:sz w:val="40"/>
        <w:szCs w:val="40"/>
      </w:rPr>
      <w:t>Gundy Complex</w:t>
    </w:r>
    <w:r w:rsidRPr="007110E5">
      <w:rPr>
        <w:rFonts w:ascii="Arial" w:hAnsi="Arial" w:cs="Arial"/>
        <w:sz w:val="40"/>
        <w:szCs w:val="40"/>
      </w:rPr>
      <w:t xml:space="preserve"> Plan:</w:t>
    </w:r>
    <w:r w:rsidR="007B25BE" w:rsidRPr="007110E5">
      <w:rPr>
        <w:rFonts w:ascii="Arial" w:hAnsi="Arial" w:cs="Arial"/>
        <w:sz w:val="40"/>
        <w:szCs w:val="40"/>
      </w:rPr>
      <w:t xml:space="preserve"> QP/QEP Statement Template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C637" w14:textId="77777777" w:rsidR="00B21F5B" w:rsidRDefault="00B21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069"/>
    <w:multiLevelType w:val="hybridMultilevel"/>
    <w:tmpl w:val="5ED0B520"/>
    <w:lvl w:ilvl="0" w:tplc="10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F93EDD"/>
    <w:multiLevelType w:val="hybridMultilevel"/>
    <w:tmpl w:val="6F16382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013CA2"/>
    <w:multiLevelType w:val="hybridMultilevel"/>
    <w:tmpl w:val="A36AC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090734"/>
    <w:multiLevelType w:val="hybridMultilevel"/>
    <w:tmpl w:val="C0540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3E2AC2"/>
    <w:multiLevelType w:val="hybridMultilevel"/>
    <w:tmpl w:val="FADEDC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4929427">
    <w:abstractNumId w:val="4"/>
  </w:num>
  <w:num w:numId="2" w16cid:durableId="1899322913">
    <w:abstractNumId w:val="2"/>
  </w:num>
  <w:num w:numId="3" w16cid:durableId="2019506229">
    <w:abstractNumId w:val="1"/>
  </w:num>
  <w:num w:numId="4" w16cid:durableId="1175457917">
    <w:abstractNumId w:val="0"/>
  </w:num>
  <w:num w:numId="5" w16cid:durableId="732318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F0"/>
    <w:rsid w:val="00023DDD"/>
    <w:rsid w:val="000303A3"/>
    <w:rsid w:val="000431F9"/>
    <w:rsid w:val="000D5F4C"/>
    <w:rsid w:val="001A452D"/>
    <w:rsid w:val="001E7124"/>
    <w:rsid w:val="0023787D"/>
    <w:rsid w:val="00267B55"/>
    <w:rsid w:val="002A0E00"/>
    <w:rsid w:val="003346E2"/>
    <w:rsid w:val="004327AF"/>
    <w:rsid w:val="00452528"/>
    <w:rsid w:val="004944F0"/>
    <w:rsid w:val="004C5CF1"/>
    <w:rsid w:val="00554408"/>
    <w:rsid w:val="005B5EB2"/>
    <w:rsid w:val="005B75B7"/>
    <w:rsid w:val="006602F0"/>
    <w:rsid w:val="00693F5B"/>
    <w:rsid w:val="006A7787"/>
    <w:rsid w:val="007110E5"/>
    <w:rsid w:val="00715C24"/>
    <w:rsid w:val="007160F0"/>
    <w:rsid w:val="00716885"/>
    <w:rsid w:val="007318DB"/>
    <w:rsid w:val="00770262"/>
    <w:rsid w:val="00792DB3"/>
    <w:rsid w:val="00795F87"/>
    <w:rsid w:val="007B25BE"/>
    <w:rsid w:val="007F213E"/>
    <w:rsid w:val="00827CAF"/>
    <w:rsid w:val="008443E8"/>
    <w:rsid w:val="0086394D"/>
    <w:rsid w:val="0088121A"/>
    <w:rsid w:val="008A3254"/>
    <w:rsid w:val="008C061B"/>
    <w:rsid w:val="008C6A8E"/>
    <w:rsid w:val="008E7C65"/>
    <w:rsid w:val="008F5DFA"/>
    <w:rsid w:val="00916476"/>
    <w:rsid w:val="00970009"/>
    <w:rsid w:val="009C4E16"/>
    <w:rsid w:val="00A26AF6"/>
    <w:rsid w:val="00A903D1"/>
    <w:rsid w:val="00A91AA5"/>
    <w:rsid w:val="00AF184B"/>
    <w:rsid w:val="00B21F5B"/>
    <w:rsid w:val="00B26645"/>
    <w:rsid w:val="00B446BE"/>
    <w:rsid w:val="00B809A5"/>
    <w:rsid w:val="00BB1B59"/>
    <w:rsid w:val="00C57229"/>
    <w:rsid w:val="00C757B3"/>
    <w:rsid w:val="00CA14DE"/>
    <w:rsid w:val="00D226E0"/>
    <w:rsid w:val="00D71046"/>
    <w:rsid w:val="00E31577"/>
    <w:rsid w:val="00EA3352"/>
    <w:rsid w:val="00EF29CF"/>
    <w:rsid w:val="00F47601"/>
    <w:rsid w:val="00F50BD4"/>
    <w:rsid w:val="00F57FDA"/>
    <w:rsid w:val="00F94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CA7E"/>
  <w15:chartTrackingRefBased/>
  <w15:docId w15:val="{41B74D41-F469-42BC-93D5-71ECD3B3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F0"/>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494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F0"/>
    <w:rPr>
      <w:rFonts w:eastAsiaTheme="majorEastAsia" w:cstheme="majorBidi"/>
      <w:color w:val="272727" w:themeColor="text1" w:themeTint="D8"/>
    </w:rPr>
  </w:style>
  <w:style w:type="paragraph" w:styleId="Title">
    <w:name w:val="Title"/>
    <w:basedOn w:val="Normal"/>
    <w:next w:val="Normal"/>
    <w:link w:val="TitleChar"/>
    <w:qFormat/>
    <w:rsid w:val="00494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F0"/>
    <w:pPr>
      <w:spacing w:before="160"/>
      <w:jc w:val="center"/>
    </w:pPr>
    <w:rPr>
      <w:i/>
      <w:iCs/>
      <w:color w:val="404040" w:themeColor="text1" w:themeTint="BF"/>
    </w:rPr>
  </w:style>
  <w:style w:type="character" w:customStyle="1" w:styleId="QuoteChar">
    <w:name w:val="Quote Char"/>
    <w:basedOn w:val="DefaultParagraphFont"/>
    <w:link w:val="Quote"/>
    <w:uiPriority w:val="29"/>
    <w:rsid w:val="004944F0"/>
    <w:rPr>
      <w:i/>
      <w:iCs/>
      <w:color w:val="404040" w:themeColor="text1" w:themeTint="BF"/>
    </w:rPr>
  </w:style>
  <w:style w:type="paragraph" w:styleId="ListParagraph">
    <w:name w:val="List Paragraph"/>
    <w:basedOn w:val="Normal"/>
    <w:uiPriority w:val="34"/>
    <w:qFormat/>
    <w:rsid w:val="004944F0"/>
    <w:pPr>
      <w:ind w:left="720"/>
      <w:contextualSpacing/>
    </w:pPr>
  </w:style>
  <w:style w:type="character" w:styleId="IntenseEmphasis">
    <w:name w:val="Intense Emphasis"/>
    <w:basedOn w:val="DefaultParagraphFont"/>
    <w:uiPriority w:val="21"/>
    <w:qFormat/>
    <w:rsid w:val="004944F0"/>
    <w:rPr>
      <w:i/>
      <w:iCs/>
      <w:color w:val="0F4761" w:themeColor="accent1" w:themeShade="BF"/>
    </w:rPr>
  </w:style>
  <w:style w:type="paragraph" w:styleId="IntenseQuote">
    <w:name w:val="Intense Quote"/>
    <w:basedOn w:val="Normal"/>
    <w:next w:val="Normal"/>
    <w:link w:val="IntenseQuoteChar"/>
    <w:uiPriority w:val="30"/>
    <w:qFormat/>
    <w:rsid w:val="00494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F0"/>
    <w:rPr>
      <w:i/>
      <w:iCs/>
      <w:color w:val="0F4761" w:themeColor="accent1" w:themeShade="BF"/>
    </w:rPr>
  </w:style>
  <w:style w:type="character" w:styleId="IntenseReference">
    <w:name w:val="Intense Reference"/>
    <w:basedOn w:val="DefaultParagraphFont"/>
    <w:uiPriority w:val="32"/>
    <w:qFormat/>
    <w:rsid w:val="004944F0"/>
    <w:rPr>
      <w:b/>
      <w:bCs/>
      <w:smallCaps/>
      <w:color w:val="0F4761" w:themeColor="accent1" w:themeShade="BF"/>
      <w:spacing w:val="5"/>
    </w:rPr>
  </w:style>
  <w:style w:type="paragraph" w:styleId="Header">
    <w:name w:val="header"/>
    <w:basedOn w:val="Normal"/>
    <w:link w:val="HeaderChar"/>
    <w:uiPriority w:val="99"/>
    <w:unhideWhenUsed/>
    <w:rsid w:val="004944F0"/>
    <w:pPr>
      <w:tabs>
        <w:tab w:val="center" w:pos="4680"/>
        <w:tab w:val="right" w:pos="9360"/>
      </w:tabs>
    </w:pPr>
  </w:style>
  <w:style w:type="character" w:customStyle="1" w:styleId="HeaderChar">
    <w:name w:val="Header Char"/>
    <w:basedOn w:val="DefaultParagraphFont"/>
    <w:link w:val="Header"/>
    <w:uiPriority w:val="99"/>
    <w:rsid w:val="004944F0"/>
  </w:style>
  <w:style w:type="paragraph" w:styleId="Footer">
    <w:name w:val="footer"/>
    <w:basedOn w:val="Normal"/>
    <w:link w:val="FooterChar"/>
    <w:uiPriority w:val="99"/>
    <w:unhideWhenUsed/>
    <w:rsid w:val="004944F0"/>
    <w:pPr>
      <w:tabs>
        <w:tab w:val="center" w:pos="4680"/>
        <w:tab w:val="right" w:pos="9360"/>
      </w:tabs>
    </w:pPr>
  </w:style>
  <w:style w:type="character" w:customStyle="1" w:styleId="FooterChar">
    <w:name w:val="Footer Char"/>
    <w:basedOn w:val="DefaultParagraphFont"/>
    <w:link w:val="Footer"/>
    <w:uiPriority w:val="99"/>
    <w:rsid w:val="004944F0"/>
  </w:style>
  <w:style w:type="table" w:styleId="TableGrid">
    <w:name w:val="Table Grid"/>
    <w:basedOn w:val="TableNormal"/>
    <w:uiPriority w:val="39"/>
    <w:rsid w:val="004944F0"/>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4944F0"/>
    <w:rPr>
      <w:sz w:val="16"/>
      <w:szCs w:val="16"/>
    </w:rPr>
  </w:style>
  <w:style w:type="paragraph" w:styleId="CommentText">
    <w:name w:val="annotation text"/>
    <w:basedOn w:val="Normal"/>
    <w:link w:val="CommentTextChar"/>
    <w:rsid w:val="004944F0"/>
    <w:rPr>
      <w:sz w:val="20"/>
      <w:szCs w:val="20"/>
    </w:rPr>
  </w:style>
  <w:style w:type="character" w:customStyle="1" w:styleId="CommentTextChar">
    <w:name w:val="Comment Text Char"/>
    <w:basedOn w:val="DefaultParagraphFont"/>
    <w:link w:val="CommentText"/>
    <w:rsid w:val="004944F0"/>
    <w:rPr>
      <w:rFonts w:ascii="Times New Roman" w:eastAsia="Calibri" w:hAnsi="Times New Roman" w:cs="Times New Roman"/>
      <w:kern w:val="0"/>
      <w:sz w:val="20"/>
      <w:szCs w:val="20"/>
      <w14:ligatures w14:val="none"/>
    </w:rPr>
  </w:style>
  <w:style w:type="character" w:customStyle="1" w:styleId="normaltextrun">
    <w:name w:val="normaltextrun"/>
    <w:basedOn w:val="DefaultParagraphFont"/>
    <w:rsid w:val="004944F0"/>
  </w:style>
  <w:style w:type="paragraph" w:styleId="Revision">
    <w:name w:val="Revision"/>
    <w:hidden/>
    <w:uiPriority w:val="99"/>
    <w:semiHidden/>
    <w:rsid w:val="00D71046"/>
    <w:pPr>
      <w:spacing w:after="0" w:line="240" w:lineRule="auto"/>
    </w:pPr>
    <w:rPr>
      <w:rFonts w:ascii="Times New Roman" w:eastAsia="Calibri"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B809A5"/>
    <w:rPr>
      <w:b/>
      <w:bCs/>
    </w:rPr>
  </w:style>
  <w:style w:type="character" w:customStyle="1" w:styleId="CommentSubjectChar">
    <w:name w:val="Comment Subject Char"/>
    <w:basedOn w:val="CommentTextChar"/>
    <w:link w:val="CommentSubject"/>
    <w:uiPriority w:val="99"/>
    <w:semiHidden/>
    <w:rsid w:val="00B809A5"/>
    <w:rPr>
      <w:rFonts w:ascii="Times New Roman" w:eastAsia="Calibri" w:hAnsi="Times New Roman" w:cs="Times New Roman"/>
      <w:b/>
      <w:bCs/>
      <w:kern w:val="0"/>
      <w:sz w:val="20"/>
      <w:szCs w:val="20"/>
      <w14:ligatures w14:val="none"/>
    </w:rPr>
  </w:style>
  <w:style w:type="character" w:styleId="Hyperlink">
    <w:name w:val="Hyperlink"/>
    <w:basedOn w:val="DefaultParagraphFont"/>
    <w:uiPriority w:val="99"/>
    <w:semiHidden/>
    <w:unhideWhenUsed/>
    <w:rsid w:val="007318D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laws.gov.bc.ca/civix/document/id/oic/oic_cur/0532_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183C52EE0EA4D853A6ACCBDBC8F91" ma:contentTypeVersion="6" ma:contentTypeDescription="Create a new document." ma:contentTypeScope="" ma:versionID="f50f0e253449b59488cdeae87aea978d">
  <xsd:schema xmlns:xsd="http://www.w3.org/2001/XMLSchema" xmlns:xs="http://www.w3.org/2001/XMLSchema" xmlns:p="http://schemas.microsoft.com/office/2006/metadata/properties" xmlns:ns2="1eaca595-2d81-44a6-909d-a5f39e478f43" xmlns:ns3="dac37f74-8c4b-4d5c-8122-cc050dee1161" targetNamespace="http://schemas.microsoft.com/office/2006/metadata/properties" ma:root="true" ma:fieldsID="c7aa8b437bfdb4bf932b397cd5a73e44" ns2:_="" ns3:_="">
    <xsd:import namespace="1eaca595-2d81-44a6-909d-a5f39e478f43"/>
    <xsd:import namespace="dac37f74-8c4b-4d5c-8122-cc050dee1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a595-2d81-44a6-909d-a5f39e478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37f74-8c4b-4d5c-8122-cc050dee11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c37f74-8c4b-4d5c-8122-cc050dee1161">
      <UserInfo>
        <DisplayName>Shepard, Michael</DisplayName>
        <AccountId>28</AccountId>
        <AccountType/>
      </UserInfo>
      <UserInfo>
        <DisplayName>Rauscher, Tarilee</DisplayName>
        <AccountId>21</AccountId>
        <AccountType/>
      </UserInfo>
      <UserInfo>
        <DisplayName>von Stackelberg, Amy</DisplayName>
        <AccountId>13</AccountId>
        <AccountType/>
      </UserInfo>
      <UserInfo>
        <DisplayName>Bourke, Dax</DisplayName>
        <AccountId>24</AccountId>
        <AccountType/>
      </UserInfo>
      <UserInfo>
        <DisplayName>McLean, Rebeccah</DisplayName>
        <AccountId>18</AccountId>
        <AccountType/>
      </UserInfo>
      <UserInfo>
        <DisplayName>Morrison, Beth</DisplayName>
        <AccountId>25</AccountId>
        <AccountType/>
      </UserInfo>
      <UserInfo>
        <DisplayName>Anderson, Justin</DisplayName>
        <AccountId>11</AccountId>
        <AccountType/>
      </UserInfo>
      <UserInfo>
        <DisplayName>Louie, Amy-Jade</DisplayName>
        <AccountId>23</AccountId>
        <AccountType/>
      </UserInfo>
      <UserInfo>
        <DisplayName>White, Katelyn</DisplayName>
        <AccountId>22</AccountId>
        <AccountType/>
      </UserInfo>
      <UserInfo>
        <DisplayName>Waterfield, Liz</DisplayName>
        <AccountId>12</AccountId>
        <AccountType/>
      </UserInfo>
      <UserInfo>
        <DisplayName>Bourke, Jacqueline</DisplayName>
        <AccountId>17</AccountId>
        <AccountType/>
      </UserInfo>
      <UserInfo>
        <DisplayName>Phillips, Lori L</DisplayName>
        <AccountId>19</AccountId>
        <AccountType/>
      </UserInfo>
      <UserInfo>
        <DisplayName>Welch, Laurie</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1CD6-8B0F-44C3-91CA-D69EA65B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a595-2d81-44a6-909d-a5f39e478f43"/>
    <ds:schemaRef ds:uri="dac37f74-8c4b-4d5c-8122-cc050dee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60FC2-15F2-449E-8EB4-97657D4C49B8}">
  <ds:schemaRefs>
    <ds:schemaRef ds:uri="http://schemas.microsoft.com/office/2006/metadata/properties"/>
    <ds:schemaRef ds:uri="http://schemas.microsoft.com/office/infopath/2007/PartnerControls"/>
    <ds:schemaRef ds:uri="dac37f74-8c4b-4d5c-8122-cc050dee1161"/>
  </ds:schemaRefs>
</ds:datastoreItem>
</file>

<file path=customXml/itemProps3.xml><?xml version="1.0" encoding="utf-8"?>
<ds:datastoreItem xmlns:ds="http://schemas.openxmlformats.org/officeDocument/2006/customXml" ds:itemID="{FE8CBA80-DB8F-474C-8E84-49044B1C7F00}">
  <ds:schemaRefs>
    <ds:schemaRef ds:uri="http://schemas.microsoft.com/sharepoint/v3/contenttype/forms"/>
  </ds:schemaRefs>
</ds:datastoreItem>
</file>

<file path=customXml/itemProps4.xml><?xml version="1.0" encoding="utf-8"?>
<ds:datastoreItem xmlns:ds="http://schemas.openxmlformats.org/officeDocument/2006/customXml" ds:itemID="{9D255E9E-5E14-4F25-9E72-BB49DD5D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Links>
    <vt:vector size="6" baseType="variant">
      <vt:variant>
        <vt:i4>7</vt:i4>
      </vt:variant>
      <vt:variant>
        <vt:i4>0</vt:i4>
      </vt:variant>
      <vt:variant>
        <vt:i4>0</vt:i4>
      </vt:variant>
      <vt:variant>
        <vt:i4>5</vt:i4>
      </vt:variant>
      <vt:variant>
        <vt:lpwstr>https://www2.qa.gov.bc.ca/gov/content?id=52B3AA1D433F4EF4A2A012EDB373A997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35</cp:revision>
  <dcterms:created xsi:type="dcterms:W3CDTF">2024-05-24T16:18:00Z</dcterms:created>
  <dcterms:modified xsi:type="dcterms:W3CDTF">2024-07-23T15:48:00Z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0x010100BEB183C52EE0EA4D853A6ACCBDBC8F91</vt:lpwstr>
  </property>
</Properties>
</file>